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1A31" w14:textId="77777777" w:rsidR="00A81005" w:rsidRDefault="00A93B85">
      <w:pPr>
        <w:pStyle w:val="Title"/>
      </w:pPr>
      <w:r>
        <w:t>Florida Construction - Home Improvement</w:t>
      </w:r>
      <w:r>
        <w:br/>
        <w:t>Market Brief</w:t>
      </w:r>
    </w:p>
    <w:p w14:paraId="5113C25C" w14:textId="77777777" w:rsidR="00A81005" w:rsidRDefault="00A93B85">
      <w:r>
        <w:t>Market Conditions, Buyer Trends &amp; Business Sale Benchmarks</w:t>
      </w:r>
    </w:p>
    <w:p w14:paraId="7E142739" w14:textId="77777777" w:rsidR="00A81005" w:rsidRDefault="00A93B85">
      <w:r>
        <w:t>2026 Edition</w:t>
      </w:r>
    </w:p>
    <w:p w14:paraId="6631B3CF" w14:textId="77777777" w:rsidR="00A81005" w:rsidRDefault="00A81005">
      <w:pPr>
        <w:pBdr>
          <w:bottom w:val="single" w:sz="18" w:space="1" w:color="A7CFCB"/>
        </w:pBdr>
        <w:spacing w:before="40" w:after="160"/>
      </w:pPr>
    </w:p>
    <w:tbl>
      <w:tblPr>
        <w:tblW w:w="0" w:type="auto"/>
        <w:jc w:val="center"/>
        <w:tblLook w:val="04A0" w:firstRow="1" w:lastRow="0" w:firstColumn="1" w:lastColumn="0" w:noHBand="0" w:noVBand="1"/>
      </w:tblPr>
      <w:tblGrid>
        <w:gridCol w:w="3388"/>
        <w:gridCol w:w="3389"/>
        <w:gridCol w:w="3389"/>
      </w:tblGrid>
      <w:tr w:rsidR="00A81005" w14:paraId="626F52DD" w14:textId="77777777">
        <w:trPr>
          <w:jc w:val="center"/>
        </w:trPr>
        <w:tc>
          <w:tcPr>
            <w:tcW w:w="3389" w:type="dxa"/>
            <w:shd w:val="clear" w:color="auto" w:fill="F7F3EA"/>
          </w:tcPr>
          <w:p w14:paraId="1BCC0104" w14:textId="77777777" w:rsidR="00A81005" w:rsidRDefault="00A93B85">
            <w:r>
              <w:t>14</w:t>
            </w:r>
            <w:r>
              <w:br/>
              <w:t>Florida transactions analyzed</w:t>
            </w:r>
          </w:p>
        </w:tc>
        <w:tc>
          <w:tcPr>
            <w:tcW w:w="3389" w:type="dxa"/>
            <w:shd w:val="clear" w:color="auto" w:fill="F7F3EA"/>
          </w:tcPr>
          <w:p w14:paraId="7C4FB0BE" w14:textId="77777777" w:rsidR="00A81005" w:rsidRDefault="00A93B85">
            <w:r>
              <w:t>$1.45M</w:t>
            </w:r>
            <w:r>
              <w:br/>
              <w:t>Average sold price</w:t>
            </w:r>
          </w:p>
        </w:tc>
        <w:tc>
          <w:tcPr>
            <w:tcW w:w="3389" w:type="dxa"/>
            <w:shd w:val="clear" w:color="auto" w:fill="F7F3EA"/>
          </w:tcPr>
          <w:p w14:paraId="183C755E" w14:textId="77777777" w:rsidR="00A81005" w:rsidRDefault="00A93B85">
            <w:r>
              <w:t>2.37x</w:t>
            </w:r>
            <w:r>
              <w:br/>
              <w:t>Average sold price / SDE</w:t>
            </w:r>
          </w:p>
        </w:tc>
      </w:tr>
    </w:tbl>
    <w:p w14:paraId="63CADF92" w14:textId="77777777" w:rsidR="00A81005" w:rsidRDefault="00A93B85">
      <w:r>
        <w:t>Prepared by Todd Topliff</w:t>
      </w:r>
    </w:p>
    <w:p w14:paraId="78EFC478" w14:textId="77777777" w:rsidR="00A81005" w:rsidRDefault="00A93B85">
      <w:r>
        <w:t>Business Broker &amp; Transaction Advisor</w:t>
      </w:r>
      <w:r>
        <w:br/>
        <w:t>Corporate Investment Business Brokers</w:t>
      </w:r>
    </w:p>
    <w:p w14:paraId="21512708" w14:textId="77777777" w:rsidR="00A81005" w:rsidRDefault="00A93B85">
      <w:r>
        <w:t>For established owner-operated residential remodeling and home-improvement businesses throughout Florida.</w:t>
      </w:r>
    </w:p>
    <w:p w14:paraId="41532610" w14:textId="77777777" w:rsidR="00A81005" w:rsidRDefault="00A81005"/>
    <w:p w14:paraId="2DE80A95" w14:textId="77777777" w:rsidR="00A81005" w:rsidRDefault="00A93B85">
      <w:r>
        <w:t>Source note: This brief combines 14 completed Florida Contractor Home Improvement transactions supplied by Todd Topliff with industry research from IBISWorld, Remodeling in the US, October 2024.</w:t>
      </w:r>
    </w:p>
    <w:p w14:paraId="39EAB6A5" w14:textId="77777777" w:rsidR="00A81005" w:rsidRDefault="00A93B85">
      <w:r>
        <w:rPr>
          <w:b/>
        </w:rPr>
        <w:t xml:space="preserve">Source note: </w:t>
      </w:r>
      <w:r>
        <w:t>This brief combines Florida closed-transaction data supplied by Todd Topliff with industry research from IBISWorld (November 2024) and Vertical IQ (August 2025).</w:t>
      </w:r>
    </w:p>
    <w:p w14:paraId="7C6D9A79" w14:textId="77777777" w:rsidR="00A81005" w:rsidRDefault="00A93B85">
      <w:r>
        <w:br w:type="page"/>
      </w:r>
    </w:p>
    <w:p w14:paraId="13CC1F8D" w14:textId="77777777" w:rsidR="00A81005" w:rsidRDefault="00A93B85">
      <w:pPr>
        <w:pStyle w:val="Heading1"/>
      </w:pPr>
      <w:r>
        <w:lastRenderedPageBreak/>
        <w:t>Why This Brief Matters</w:t>
      </w:r>
    </w:p>
    <w:p w14:paraId="18E326FD" w14:textId="77777777" w:rsidR="00A81005" w:rsidRDefault="00A93B85">
      <w:r>
        <w:t>If you own an established home-improvement or residential remodeling company in Florida, most of your attention is probably on the business in front of you: customers, projects, estimates, crews, subcontractors, scheduling, materials, margins and keeping work moving.</w:t>
      </w:r>
    </w:p>
    <w:p w14:paraId="5D5B6551" w14:textId="77777777" w:rsidR="00A81005" w:rsidRDefault="00A93B85">
      <w:r>
        <w:t>Those same operating realities are also what determine how a future buyer views the company. The question is not simply what the business earns today. It is how durable those earnings are, how dependent the company is on the owner, and how confidently the work, people and customer relationships can transfer to someone else.</w:t>
      </w:r>
    </w:p>
    <w:tbl>
      <w:tblPr>
        <w:tblW w:w="0" w:type="auto"/>
        <w:jc w:val="center"/>
        <w:tblLook w:val="04A0" w:firstRow="1" w:lastRow="0" w:firstColumn="1" w:lastColumn="0" w:noHBand="0" w:noVBand="1"/>
      </w:tblPr>
      <w:tblGrid>
        <w:gridCol w:w="10166"/>
      </w:tblGrid>
      <w:tr w:rsidR="00A81005" w14:paraId="4A797376" w14:textId="77777777">
        <w:trPr>
          <w:jc w:val="center"/>
        </w:trPr>
        <w:tc>
          <w:tcPr>
            <w:tcW w:w="10166" w:type="dxa"/>
            <w:shd w:val="clear" w:color="auto" w:fill="EEF3F4"/>
          </w:tcPr>
          <w:p w14:paraId="164AB11D" w14:textId="77777777" w:rsidR="00A81005" w:rsidRDefault="00A93B85">
            <w:r>
              <w:t>The owner's objective</w:t>
            </w:r>
            <w:r>
              <w:br/>
            </w:r>
            <w:r>
              <w:t>The goal does not have to be selling today. The objective is clarity: understand how buyers view the business, where risk sits, and what can be improved now to create more options later.</w:t>
            </w:r>
          </w:p>
        </w:tc>
      </w:tr>
    </w:tbl>
    <w:p w14:paraId="304F4C1C" w14:textId="77777777" w:rsidR="00A81005" w:rsidRDefault="00A93B85">
      <w:pPr>
        <w:pStyle w:val="Heading1"/>
      </w:pPr>
      <w:r>
        <w:t>1. What Florida Home Improvement Contractors Have Actually Sold For</w:t>
      </w:r>
    </w:p>
    <w:p w14:paraId="6D27AAA2" w14:textId="77777777" w:rsidR="00A81005" w:rsidRDefault="00A93B85">
      <w:r>
        <w:t>A review of 14 completed Florida Contractor Home Improvement transactions provides a practical starting point for understanding the market. The companies span different revenue sizes, project types and operating models, so the averages are market evidence rather than a formula for valuing any one business.</w:t>
      </w:r>
    </w:p>
    <w:tbl>
      <w:tblPr>
        <w:tblStyle w:val="TableGrid"/>
        <w:tblW w:w="0" w:type="auto"/>
        <w:jc w:val="center"/>
        <w:tblLook w:val="04A0" w:firstRow="1" w:lastRow="0" w:firstColumn="1" w:lastColumn="0" w:noHBand="0" w:noVBand="1"/>
      </w:tblPr>
      <w:tblGrid>
        <w:gridCol w:w="5078"/>
        <w:gridCol w:w="5078"/>
      </w:tblGrid>
      <w:tr w:rsidR="00A81005" w14:paraId="0520B2A1" w14:textId="77777777">
        <w:trPr>
          <w:jc w:val="center"/>
        </w:trPr>
        <w:tc>
          <w:tcPr>
            <w:tcW w:w="5083" w:type="dxa"/>
            <w:shd w:val="clear" w:color="auto" w:fill="123D52"/>
            <w:vAlign w:val="center"/>
          </w:tcPr>
          <w:p w14:paraId="25C9E83D" w14:textId="77777777" w:rsidR="00A81005" w:rsidRDefault="00A93B85">
            <w:r>
              <w:rPr>
                <w:b/>
                <w:color w:val="FFFFFF"/>
              </w:rPr>
              <w:t>Florida Transaction Metric</w:t>
            </w:r>
          </w:p>
        </w:tc>
        <w:tc>
          <w:tcPr>
            <w:tcW w:w="5083" w:type="dxa"/>
            <w:shd w:val="clear" w:color="auto" w:fill="123D52"/>
            <w:vAlign w:val="center"/>
          </w:tcPr>
          <w:p w14:paraId="4DDF287A" w14:textId="77777777" w:rsidR="00A81005" w:rsidRDefault="00A93B85">
            <w:pPr>
              <w:jc w:val="right"/>
            </w:pPr>
            <w:r>
              <w:rPr>
                <w:b/>
                <w:color w:val="FFFFFF"/>
              </w:rPr>
              <w:t>Average</w:t>
            </w:r>
          </w:p>
        </w:tc>
      </w:tr>
      <w:tr w:rsidR="00A81005" w14:paraId="153AFD51" w14:textId="77777777">
        <w:trPr>
          <w:jc w:val="center"/>
        </w:trPr>
        <w:tc>
          <w:tcPr>
            <w:tcW w:w="5083" w:type="dxa"/>
          </w:tcPr>
          <w:p w14:paraId="527189F4" w14:textId="77777777" w:rsidR="00A81005" w:rsidRDefault="00A93B85">
            <w:r>
              <w:t>Completed transactions</w:t>
            </w:r>
          </w:p>
        </w:tc>
        <w:tc>
          <w:tcPr>
            <w:tcW w:w="5083" w:type="dxa"/>
          </w:tcPr>
          <w:p w14:paraId="68C629B5" w14:textId="77777777" w:rsidR="00A81005" w:rsidRDefault="00A93B85">
            <w:r>
              <w:t>14</w:t>
            </w:r>
          </w:p>
        </w:tc>
      </w:tr>
      <w:tr w:rsidR="00A81005" w14:paraId="1DBAC7B5" w14:textId="77777777">
        <w:trPr>
          <w:jc w:val="center"/>
        </w:trPr>
        <w:tc>
          <w:tcPr>
            <w:tcW w:w="5083" w:type="dxa"/>
          </w:tcPr>
          <w:p w14:paraId="1314C9DF" w14:textId="77777777" w:rsidR="00A81005" w:rsidRDefault="00A93B85">
            <w:r>
              <w:t>Average annual sales</w:t>
            </w:r>
          </w:p>
        </w:tc>
        <w:tc>
          <w:tcPr>
            <w:tcW w:w="5083" w:type="dxa"/>
          </w:tcPr>
          <w:p w14:paraId="1F912164" w14:textId="77777777" w:rsidR="00A81005" w:rsidRDefault="00A93B85">
            <w:r>
              <w:t>$2,841,648</w:t>
            </w:r>
          </w:p>
        </w:tc>
      </w:tr>
      <w:tr w:rsidR="00A81005" w14:paraId="77A2046A" w14:textId="77777777">
        <w:trPr>
          <w:jc w:val="center"/>
        </w:trPr>
        <w:tc>
          <w:tcPr>
            <w:tcW w:w="5083" w:type="dxa"/>
          </w:tcPr>
          <w:p w14:paraId="218C1E15" w14:textId="77777777" w:rsidR="00A81005" w:rsidRDefault="00A93B85">
            <w:r>
              <w:t>Average sold price</w:t>
            </w:r>
          </w:p>
        </w:tc>
        <w:tc>
          <w:tcPr>
            <w:tcW w:w="5083" w:type="dxa"/>
          </w:tcPr>
          <w:p w14:paraId="176ACF5E" w14:textId="77777777" w:rsidR="00A81005" w:rsidRDefault="00A93B85">
            <w:r>
              <w:t>$1,448,929</w:t>
            </w:r>
          </w:p>
        </w:tc>
      </w:tr>
      <w:tr w:rsidR="00A81005" w14:paraId="489A7F8E" w14:textId="77777777">
        <w:trPr>
          <w:jc w:val="center"/>
        </w:trPr>
        <w:tc>
          <w:tcPr>
            <w:tcW w:w="5083" w:type="dxa"/>
          </w:tcPr>
          <w:p w14:paraId="1D904A59" w14:textId="77777777" w:rsidR="00A81005" w:rsidRDefault="00A93B85">
            <w:r>
              <w:t>Average discretionary earnings</w:t>
            </w:r>
          </w:p>
        </w:tc>
        <w:tc>
          <w:tcPr>
            <w:tcW w:w="5083" w:type="dxa"/>
          </w:tcPr>
          <w:p w14:paraId="43810B47" w14:textId="77777777" w:rsidR="00A81005" w:rsidRDefault="00A93B85">
            <w:r>
              <w:t>$594,123</w:t>
            </w:r>
          </w:p>
        </w:tc>
      </w:tr>
      <w:tr w:rsidR="00A81005" w14:paraId="44B672AC" w14:textId="77777777">
        <w:trPr>
          <w:jc w:val="center"/>
        </w:trPr>
        <w:tc>
          <w:tcPr>
            <w:tcW w:w="5083" w:type="dxa"/>
          </w:tcPr>
          <w:p w14:paraId="6A1C3F7A" w14:textId="77777777" w:rsidR="00A81005" w:rsidRDefault="00A93B85">
            <w:r>
              <w:t>Sold price / sales</w:t>
            </w:r>
          </w:p>
        </w:tc>
        <w:tc>
          <w:tcPr>
            <w:tcW w:w="5083" w:type="dxa"/>
          </w:tcPr>
          <w:p w14:paraId="58BC23CE" w14:textId="77777777" w:rsidR="00A81005" w:rsidRDefault="00A93B85">
            <w:r>
              <w:t>0.606x</w:t>
            </w:r>
          </w:p>
        </w:tc>
      </w:tr>
      <w:tr w:rsidR="00A81005" w14:paraId="60801A17" w14:textId="77777777">
        <w:trPr>
          <w:jc w:val="center"/>
        </w:trPr>
        <w:tc>
          <w:tcPr>
            <w:tcW w:w="5083" w:type="dxa"/>
          </w:tcPr>
          <w:p w14:paraId="265A0C59" w14:textId="77777777" w:rsidR="00A81005" w:rsidRDefault="00A93B85">
            <w:r>
              <w:t>Discretionary earnings / sales</w:t>
            </w:r>
          </w:p>
        </w:tc>
        <w:tc>
          <w:tcPr>
            <w:tcW w:w="5083" w:type="dxa"/>
          </w:tcPr>
          <w:p w14:paraId="67988055" w14:textId="77777777" w:rsidR="00A81005" w:rsidRDefault="00A93B85">
            <w:r>
              <w:t>27.7%</w:t>
            </w:r>
          </w:p>
        </w:tc>
      </w:tr>
      <w:tr w:rsidR="00A81005" w14:paraId="387F8652" w14:textId="77777777">
        <w:trPr>
          <w:jc w:val="center"/>
        </w:trPr>
        <w:tc>
          <w:tcPr>
            <w:tcW w:w="5083" w:type="dxa"/>
          </w:tcPr>
          <w:p w14:paraId="2D75BCB3" w14:textId="77777777" w:rsidR="00A81005" w:rsidRDefault="00A93B85">
            <w:r>
              <w:t>Sold price / discretionary earnings</w:t>
            </w:r>
          </w:p>
        </w:tc>
        <w:tc>
          <w:tcPr>
            <w:tcW w:w="5083" w:type="dxa"/>
          </w:tcPr>
          <w:p w14:paraId="18D4D86D" w14:textId="77777777" w:rsidR="00A81005" w:rsidRDefault="00A93B85">
            <w:r>
              <w:t>2.373x</w:t>
            </w:r>
          </w:p>
        </w:tc>
      </w:tr>
      <w:tr w:rsidR="00A81005" w14:paraId="3B08872A" w14:textId="77777777">
        <w:trPr>
          <w:jc w:val="center"/>
        </w:trPr>
        <w:tc>
          <w:tcPr>
            <w:tcW w:w="5083" w:type="dxa"/>
          </w:tcPr>
          <w:p w14:paraId="0F50BE86" w14:textId="77777777" w:rsidR="00A81005" w:rsidRDefault="00A93B85">
            <w:r>
              <w:t>Rent / sales</w:t>
            </w:r>
          </w:p>
        </w:tc>
        <w:tc>
          <w:tcPr>
            <w:tcW w:w="5083" w:type="dxa"/>
          </w:tcPr>
          <w:p w14:paraId="27A9E024" w14:textId="77777777" w:rsidR="00A81005" w:rsidRDefault="00A93B85">
            <w:r>
              <w:t>2.9%</w:t>
            </w:r>
          </w:p>
        </w:tc>
      </w:tr>
      <w:tr w:rsidR="00A81005" w14:paraId="23B19DEA" w14:textId="77777777">
        <w:trPr>
          <w:jc w:val="center"/>
        </w:trPr>
        <w:tc>
          <w:tcPr>
            <w:tcW w:w="5083" w:type="dxa"/>
          </w:tcPr>
          <w:p w14:paraId="5136380A" w14:textId="77777777" w:rsidR="00A81005" w:rsidRDefault="00A93B85">
            <w:r>
              <w:t>Sold price / asking price</w:t>
            </w:r>
          </w:p>
        </w:tc>
        <w:tc>
          <w:tcPr>
            <w:tcW w:w="5083" w:type="dxa"/>
          </w:tcPr>
          <w:p w14:paraId="2810B30C" w14:textId="77777777" w:rsidR="00A81005" w:rsidRDefault="00A93B85">
            <w:r>
              <w:t>81.4%</w:t>
            </w:r>
          </w:p>
        </w:tc>
      </w:tr>
      <w:tr w:rsidR="00A81005" w14:paraId="5C2E8C4E" w14:textId="77777777">
        <w:trPr>
          <w:jc w:val="center"/>
        </w:trPr>
        <w:tc>
          <w:tcPr>
            <w:tcW w:w="5083" w:type="dxa"/>
          </w:tcPr>
          <w:p w14:paraId="7003E994" w14:textId="77777777" w:rsidR="00A81005" w:rsidRDefault="00A93B85">
            <w:r>
              <w:t>Average days on market</w:t>
            </w:r>
          </w:p>
        </w:tc>
        <w:tc>
          <w:tcPr>
            <w:tcW w:w="5083" w:type="dxa"/>
          </w:tcPr>
          <w:p w14:paraId="6124CF38" w14:textId="77777777" w:rsidR="00A81005" w:rsidRDefault="00A93B85">
            <w:r>
              <w:t>371 days</w:t>
            </w:r>
          </w:p>
        </w:tc>
      </w:tr>
    </w:tbl>
    <w:p w14:paraId="00C97AEF" w14:textId="77777777" w:rsidR="00A81005" w:rsidRDefault="00A93B85">
      <w:r>
        <w:t>In simple terms, the average completed Florida transaction in this set involved approximately $2.84 million in annual revenue, $594,000 in discretionary earnings and a $1.45 million sold price.</w:t>
      </w:r>
    </w:p>
    <w:p w14:paraId="4C7DDA32" w14:textId="77777777" w:rsidR="00A81005" w:rsidRDefault="00A93B85">
      <w:pPr>
        <w:pStyle w:val="Heading2"/>
      </w:pPr>
      <w:r>
        <w:t>What the averages do and do not tell us</w:t>
      </w:r>
    </w:p>
    <w:p w14:paraId="132892EC" w14:textId="77777777" w:rsidR="00A81005" w:rsidRDefault="00A93B85">
      <w:r>
        <w:t>The average 2.373x discretionary-earnings multiple and 0.606x revenue multiple are useful market evidence, but neither is a shortcut to value. A company with strong margins, diversified lead sources, experienced project leadership, clean financials and limited owner dependence can present very differently from a company with the same earnings but more transition risk.</w:t>
      </w:r>
    </w:p>
    <w:p w14:paraId="1699361D" w14:textId="77777777" w:rsidR="00A81005" w:rsidRDefault="00A93B85">
      <w:r>
        <w:t>The 371-day average time on market is equally important. It reinforces that a business transition is usually a process rather than an event. Owners who prepare before going to market generally have more ability to protect confidentiality, address issues and control timing.</w:t>
      </w:r>
    </w:p>
    <w:p w14:paraId="0EBDA9DD" w14:textId="77777777" w:rsidR="00A81005" w:rsidRDefault="00A81005"/>
    <w:p w14:paraId="1D2A4706" w14:textId="77777777" w:rsidR="00A81005" w:rsidRDefault="00A93B85">
      <w:pPr>
        <w:pStyle w:val="Heading1"/>
      </w:pPr>
      <w:r>
        <w:lastRenderedPageBreak/>
        <w:t>2. The Home Improvement Market Is Large, Fragmented and Local</w:t>
      </w:r>
    </w:p>
    <w:p w14:paraId="79F36C72" w14:textId="77777777" w:rsidR="00A81005" w:rsidRDefault="00A93B85">
      <w:r>
        <w:t>IBISWorld reported approximately $120.9 billion of U.S. residential remodeling revenue in 2024, roughly 820,000 businesses and $7.5 billion of industry profit, representing a 6.2% profit margin. The industry includes additions, alterations, reconstruction, maintenance and repair work on residential buildings.</w:t>
      </w:r>
    </w:p>
    <w:p w14:paraId="0A944542" w14:textId="77777777" w:rsidR="00A81005" w:rsidRDefault="00A93B85">
      <w:r>
        <w:t>The market is highly fragmented. IBISWorld identifies low concentration, low barriers to entry and high competition. That means an established contractor is rarely competing only with large regional companies. Local operators, sole proprietors and specialized trades remain a major part of the market.</w:t>
      </w:r>
    </w:p>
    <w:tbl>
      <w:tblPr>
        <w:tblStyle w:val="TableGrid"/>
        <w:tblW w:w="0" w:type="auto"/>
        <w:jc w:val="center"/>
        <w:tblLook w:val="04A0" w:firstRow="1" w:lastRow="0" w:firstColumn="1" w:lastColumn="0" w:noHBand="0" w:noVBand="1"/>
      </w:tblPr>
      <w:tblGrid>
        <w:gridCol w:w="5078"/>
        <w:gridCol w:w="5078"/>
      </w:tblGrid>
      <w:tr w:rsidR="00A81005" w14:paraId="546D6629" w14:textId="77777777">
        <w:trPr>
          <w:jc w:val="center"/>
        </w:trPr>
        <w:tc>
          <w:tcPr>
            <w:tcW w:w="5083" w:type="dxa"/>
            <w:shd w:val="clear" w:color="auto" w:fill="1F2F2A"/>
            <w:vAlign w:val="center"/>
          </w:tcPr>
          <w:p w14:paraId="7531A18E" w14:textId="77777777" w:rsidR="00A81005" w:rsidRDefault="00A93B85">
            <w:r>
              <w:rPr>
                <w:b/>
                <w:color w:val="FFFFFF"/>
              </w:rPr>
              <w:t>Industry Snapshot</w:t>
            </w:r>
          </w:p>
        </w:tc>
        <w:tc>
          <w:tcPr>
            <w:tcW w:w="5083" w:type="dxa"/>
            <w:shd w:val="clear" w:color="auto" w:fill="1F2F2A"/>
            <w:vAlign w:val="center"/>
          </w:tcPr>
          <w:p w14:paraId="0C0FC7B7" w14:textId="77777777" w:rsidR="00A81005" w:rsidRDefault="00A93B85">
            <w:pPr>
              <w:jc w:val="right"/>
            </w:pPr>
            <w:r>
              <w:rPr>
                <w:b/>
                <w:color w:val="FFFFFF"/>
              </w:rPr>
              <w:t>Latest Source Figure</w:t>
            </w:r>
          </w:p>
        </w:tc>
      </w:tr>
      <w:tr w:rsidR="00A81005" w14:paraId="48BAAD68" w14:textId="77777777">
        <w:trPr>
          <w:jc w:val="center"/>
        </w:trPr>
        <w:tc>
          <w:tcPr>
            <w:tcW w:w="5083" w:type="dxa"/>
          </w:tcPr>
          <w:p w14:paraId="03F512F5" w14:textId="77777777" w:rsidR="00A81005" w:rsidRDefault="00A93B85">
            <w:r>
              <w:t>U.S. remodeling-industry revenue</w:t>
            </w:r>
          </w:p>
        </w:tc>
        <w:tc>
          <w:tcPr>
            <w:tcW w:w="5083" w:type="dxa"/>
          </w:tcPr>
          <w:p w14:paraId="6BE4EF3B" w14:textId="77777777" w:rsidR="00A81005" w:rsidRDefault="00A93B85">
            <w:r>
              <w:t>$120.9B (IBISWorld, 2024)</w:t>
            </w:r>
          </w:p>
        </w:tc>
      </w:tr>
      <w:tr w:rsidR="00A81005" w14:paraId="59828049" w14:textId="77777777">
        <w:trPr>
          <w:jc w:val="center"/>
        </w:trPr>
        <w:tc>
          <w:tcPr>
            <w:tcW w:w="5083" w:type="dxa"/>
          </w:tcPr>
          <w:p w14:paraId="3C9B5C1A" w14:textId="77777777" w:rsidR="00A81005" w:rsidRDefault="00A93B85">
            <w:r>
              <w:t>U.S. businesses</w:t>
            </w:r>
          </w:p>
        </w:tc>
        <w:tc>
          <w:tcPr>
            <w:tcW w:w="5083" w:type="dxa"/>
          </w:tcPr>
          <w:p w14:paraId="2F292BCF" w14:textId="77777777" w:rsidR="00A81005" w:rsidRDefault="00A93B85">
            <w:r>
              <w:t>820,000 (IBISWorld, 2024)</w:t>
            </w:r>
          </w:p>
        </w:tc>
      </w:tr>
      <w:tr w:rsidR="00A81005" w14:paraId="4560E7F4" w14:textId="77777777">
        <w:trPr>
          <w:jc w:val="center"/>
        </w:trPr>
        <w:tc>
          <w:tcPr>
            <w:tcW w:w="5083" w:type="dxa"/>
          </w:tcPr>
          <w:p w14:paraId="7E80536C" w14:textId="77777777" w:rsidR="00A81005" w:rsidRDefault="00A93B85">
            <w:r>
              <w:t>Industry profit margin</w:t>
            </w:r>
          </w:p>
        </w:tc>
        <w:tc>
          <w:tcPr>
            <w:tcW w:w="5083" w:type="dxa"/>
          </w:tcPr>
          <w:p w14:paraId="1C0D4D73" w14:textId="77777777" w:rsidR="00A81005" w:rsidRDefault="00A93B85">
            <w:r>
              <w:t>6.2% (IBISWorld, 2024)</w:t>
            </w:r>
          </w:p>
        </w:tc>
      </w:tr>
      <w:tr w:rsidR="00A81005" w14:paraId="52E64C0F" w14:textId="77777777">
        <w:trPr>
          <w:jc w:val="center"/>
        </w:trPr>
        <w:tc>
          <w:tcPr>
            <w:tcW w:w="5083" w:type="dxa"/>
          </w:tcPr>
          <w:p w14:paraId="31AF57CE" w14:textId="77777777" w:rsidR="00A81005" w:rsidRDefault="00A93B85">
            <w:r>
              <w:t>2024-2029 projected revenue growth</w:t>
            </w:r>
          </w:p>
        </w:tc>
        <w:tc>
          <w:tcPr>
            <w:tcW w:w="5083" w:type="dxa"/>
          </w:tcPr>
          <w:p w14:paraId="2EC83D59" w14:textId="77777777" w:rsidR="00A81005" w:rsidRDefault="00A93B85">
            <w:r>
              <w:t>1.7% annually</w:t>
            </w:r>
          </w:p>
        </w:tc>
      </w:tr>
    </w:tbl>
    <w:p w14:paraId="6800B549" w14:textId="77777777" w:rsidR="00A81005" w:rsidRDefault="00A93B85">
      <w:r>
        <w:t>That fragmentation matters to an owner. A buyer is not simply purchasing access to a large industry. The buyer is evaluating whether this particular company has built something that is difficult to reproduce: reputation, lead flow, estimating discipline, project management, skilled people, referral relationships and consistent margins.</w:t>
      </w:r>
    </w:p>
    <w:p w14:paraId="7E37A98D" w14:textId="77777777" w:rsidR="00A81005" w:rsidRDefault="00A93B85">
      <w:pPr>
        <w:pStyle w:val="Heading1"/>
      </w:pPr>
      <w:r>
        <w:t>3. Florida Remains an Important Home Improvement Market</w:t>
      </w:r>
    </w:p>
    <w:p w14:paraId="387085FA" w14:textId="77777777" w:rsidR="00A81005" w:rsidRDefault="00A93B85">
      <w:r>
        <w:t>Florida offers a broad underlying customer base for residential improvement contractors, including single-family homes, condominiums, second homes, investment properties and aging housing stock that requires ongoing repair and updating. Storm-related repair and rebuilding activity can also create recurring demand in parts of the state.</w:t>
      </w:r>
    </w:p>
    <w:p w14:paraId="4FD0961F" w14:textId="77777777" w:rsidR="00A81005" w:rsidRDefault="00A93B85">
      <w:r>
        <w:t>For Florida contractors, a strong market backdrop does not eliminate company-specific risk. Buyers still distinguish between companies with dependable lead sources, diversified customers, repeatable project economics and management depth, and those that depend heavily on the owner or a few referral relationships.</w:t>
      </w:r>
    </w:p>
    <w:p w14:paraId="101BF5FC" w14:textId="77777777" w:rsidR="00A81005" w:rsidRDefault="00A93B85">
      <w:pPr>
        <w:pStyle w:val="Heading1"/>
      </w:pPr>
      <w:r>
        <w:t>4. Current Market Conditions: Homeowners Are Still Improving Existing Homes</w:t>
      </w:r>
    </w:p>
    <w:p w14:paraId="1BB88C68" w14:textId="77777777" w:rsidR="00A81005" w:rsidRDefault="00A93B85">
      <w:r>
        <w:t>Residential remodeling has worked through higher interest rates, labor shortages, material-cost pressure and increased price competition. IBISWorld reported modest 0.5% annual industry growth from 2019 through 2024 and projected 1.7% annual growth from 2024 through 2029, reaching an estimated $131.7 billion.</w:t>
      </w:r>
    </w:p>
    <w:p w14:paraId="11EF2CAE" w14:textId="77777777" w:rsidR="00A81005" w:rsidRDefault="00A93B85">
      <w:r>
        <w:t>Higher rates can delay large financed renovations, but they can also encourage homeowners with favorable existing mortgages to remain in place and invest in their current homes. Smaller repairs, targeted improvements and necessary maintenance can behave differently from major additions or whole-home renovations.</w:t>
      </w:r>
    </w:p>
    <w:p w14:paraId="1F91B9D9" w14:textId="77777777" w:rsidR="00A81005" w:rsidRDefault="00A93B85">
      <w:pPr>
        <w:pStyle w:val="Heading2"/>
      </w:pPr>
      <w:r>
        <w:t>Project size and service mix can change the quality of revenue</w:t>
      </w:r>
    </w:p>
    <w:p w14:paraId="34937ADF" w14:textId="77777777" w:rsidR="00A81005" w:rsidRDefault="00A93B85">
      <w:r>
        <w:t>A contractor focused on large additions may have fewer, larger projects and longer sales cycles. A company completing kitchens, bathrooms, windows, doors, flooring, exterior improvements, repairs or specialty installations may have more frequent projects but smaller average tickets. Neither model is automatically better. Buyers want to understand predictability, margin and how reliably the company replaces completed work.</w:t>
      </w:r>
    </w:p>
    <w:tbl>
      <w:tblPr>
        <w:tblW w:w="0" w:type="auto"/>
        <w:jc w:val="center"/>
        <w:tblLook w:val="04A0" w:firstRow="1" w:lastRow="0" w:firstColumn="1" w:lastColumn="0" w:noHBand="0" w:noVBand="1"/>
      </w:tblPr>
      <w:tblGrid>
        <w:gridCol w:w="10166"/>
      </w:tblGrid>
      <w:tr w:rsidR="00A81005" w14:paraId="0602911D" w14:textId="77777777">
        <w:trPr>
          <w:jc w:val="center"/>
        </w:trPr>
        <w:tc>
          <w:tcPr>
            <w:tcW w:w="10166" w:type="dxa"/>
            <w:shd w:val="clear" w:color="auto" w:fill="EEF3F4"/>
          </w:tcPr>
          <w:p w14:paraId="18DD89F7" w14:textId="77777777" w:rsidR="00A81005" w:rsidRDefault="00A93B85">
            <w:r>
              <w:t>A useful owner question</w:t>
            </w:r>
            <w:r>
              <w:br/>
            </w:r>
            <w:r>
              <w:t>If you stopped personally selling, estimating and managing projects tomorrow, how much of the company's current revenue and profitability would continue without disruption?</w:t>
            </w:r>
          </w:p>
        </w:tc>
      </w:tr>
    </w:tbl>
    <w:p w14:paraId="2B85CAD8" w14:textId="77777777" w:rsidR="00A81005" w:rsidRDefault="00A81005"/>
    <w:p w14:paraId="46C39AFB" w14:textId="77777777" w:rsidR="00A81005" w:rsidRDefault="00A93B85">
      <w:pPr>
        <w:pStyle w:val="Heading1"/>
      </w:pPr>
      <w:r>
        <w:lastRenderedPageBreak/>
        <w:t>5. What Buyers Pay Attention to in a Home Improvement Contractor</w:t>
      </w:r>
    </w:p>
    <w:p w14:paraId="591D7935" w14:textId="77777777" w:rsidR="00A81005" w:rsidRDefault="00A93B85">
      <w:pPr>
        <w:pStyle w:val="Heading2"/>
      </w:pPr>
      <w:r>
        <w:t>Revenue and project mix</w:t>
      </w:r>
    </w:p>
    <w:p w14:paraId="5ABFC0EA" w14:textId="77777777" w:rsidR="00A81005" w:rsidRDefault="00A93B85">
      <w:r>
        <w:t>Buyers want to understand how revenue is divided among additions, kitchens and bathrooms, interior alterations, exterior work, repair, specialty installation and other meaningful categories. Different work types can carry very different margins, labor requirements and sales cycles.</w:t>
      </w:r>
    </w:p>
    <w:p w14:paraId="0958C8F9" w14:textId="77777777" w:rsidR="00A81005" w:rsidRDefault="00A93B85">
      <w:pPr>
        <w:pStyle w:val="Heading2"/>
      </w:pPr>
      <w:r>
        <w:t>Customer and referral concentration</w:t>
      </w:r>
    </w:p>
    <w:p w14:paraId="2E22A484" w14:textId="77777777" w:rsidR="00A81005" w:rsidRDefault="00A93B85">
      <w:r>
        <w:t>A contractor can appear diversified by project count while still depending heavily on one builder, designer, property manager, referral partner or lead source. Buyers look at where work originates and how vulnerable the company would be if one important relationship changed.</w:t>
      </w:r>
    </w:p>
    <w:p w14:paraId="020E2E4E" w14:textId="77777777" w:rsidR="00A81005" w:rsidRDefault="00A93B85">
      <w:pPr>
        <w:pStyle w:val="Heading2"/>
      </w:pPr>
      <w:r>
        <w:t>Backlog and pipeline quality</w:t>
      </w:r>
    </w:p>
    <w:p w14:paraId="75130B59" w14:textId="77777777" w:rsidR="00A81005" w:rsidRDefault="00A93B85">
      <w:r>
        <w:t>Project-based businesses do not always have recurring revenue, so buyers often look to signed backlog, historical lead flow, quote conversion and the consistency with which completed projects are replaced. Backlog quality matters more than the headline number.</w:t>
      </w:r>
    </w:p>
    <w:p w14:paraId="76A74B32" w14:textId="77777777" w:rsidR="00A81005" w:rsidRDefault="00A93B85">
      <w:pPr>
        <w:pStyle w:val="Heading2"/>
      </w:pPr>
      <w:r>
        <w:t>Estimating and job costing</w:t>
      </w:r>
    </w:p>
    <w:p w14:paraId="0AFCA34B" w14:textId="77777777" w:rsidR="00A81005" w:rsidRDefault="00A93B85">
      <w:r>
        <w:t>Accurate estimating is one of the core profit drivers in remodeling. Buyers want to see whether labor, materials, subcontractors, change orders and job-level margins are tracked consistently and whether estimated profitability translates into actual profitability.</w:t>
      </w:r>
    </w:p>
    <w:p w14:paraId="19113DE7" w14:textId="77777777" w:rsidR="00A81005" w:rsidRDefault="00A93B85">
      <w:pPr>
        <w:pStyle w:val="Heading2"/>
      </w:pPr>
      <w:r>
        <w:t>Skilled personnel and project leadership</w:t>
      </w:r>
    </w:p>
    <w:p w14:paraId="45808F99" w14:textId="77777777" w:rsidR="00A81005" w:rsidRDefault="00A93B85">
      <w:r>
        <w:t>A buyer will want to know who estimates, schedules, manages projects, supervises crews, handles customer issues and controls quality. Experienced project managers, field leaders and reliable subcontractor relationships can be difficult to replace.</w:t>
      </w:r>
    </w:p>
    <w:p w14:paraId="7011C1C3" w14:textId="77777777" w:rsidR="00A81005" w:rsidRDefault="00A93B85">
      <w:pPr>
        <w:pStyle w:val="Heading2"/>
      </w:pPr>
      <w:r>
        <w:t>Owner dependence</w:t>
      </w:r>
    </w:p>
    <w:p w14:paraId="7443463B" w14:textId="77777777" w:rsidR="00A81005" w:rsidRDefault="00A93B85">
      <w:r>
        <w:t>If the owner personally generates most leads, estimates every job, manages the important projects and resolves every customer problem, the buyer has to replace that role after closing. Reducing owner dependence is often one of the most meaningful ways to improve transferability.</w:t>
      </w:r>
    </w:p>
    <w:p w14:paraId="53EA30F4" w14:textId="77777777" w:rsidR="00A81005" w:rsidRDefault="00A93B85">
      <w:pPr>
        <w:pStyle w:val="Heading2"/>
      </w:pPr>
      <w:r>
        <w:t>Repeat and referral work</w:t>
      </w:r>
    </w:p>
    <w:p w14:paraId="5A64F3A7" w14:textId="77777777" w:rsidR="00A81005" w:rsidRDefault="00A93B85">
      <w:r>
        <w:t>A remodeling contractor may not have formal recurring revenue, but repeat customers and durable referral relationships can still create predictable work. Buyers will want evidence that those relationships belong to the company rather than only to the owner personally.</w:t>
      </w:r>
    </w:p>
    <w:p w14:paraId="6DE446E6" w14:textId="77777777" w:rsidR="00A81005" w:rsidRDefault="00A93B85">
      <w:pPr>
        <w:pStyle w:val="Heading2"/>
      </w:pPr>
      <w:r>
        <w:t>Financial visibility</w:t>
      </w:r>
    </w:p>
    <w:p w14:paraId="6980E1B5" w14:textId="77777777" w:rsidR="00A81005" w:rsidRDefault="00A93B85">
      <w:r>
        <w:t>Clean financial statements, understandable owner adjustments, job-level reporting and a clear explanation of unusual years make the business easier to evaluate. Buyers need to understand what the company actually earns and what drives those earnings.</w:t>
      </w:r>
    </w:p>
    <w:p w14:paraId="105FDC36" w14:textId="77777777" w:rsidR="00A81005" w:rsidRDefault="00A93B85">
      <w:pPr>
        <w:pStyle w:val="Heading1"/>
      </w:pPr>
      <w:r>
        <w:t>6. Workforce and Project Leadership Are Strategic Assets</w:t>
      </w:r>
    </w:p>
    <w:p w14:paraId="488FB5F8" w14:textId="77777777" w:rsidR="00A81005" w:rsidRDefault="00A93B85">
      <w:r>
        <w:t>Residential remodeling is labor-intensive and coordination-heavy. Skilled employees, dependable subcontractors and project managers who understand quality standards, scheduling and customer expectations are part of what a buyer is acquiring.</w:t>
      </w:r>
    </w:p>
    <w:p w14:paraId="4C44C754" w14:textId="77777777" w:rsidR="00A81005" w:rsidRDefault="00A93B85">
      <w:r>
        <w:t>A company that can deliver projects without the owner personally directing every job is generally easier to transfer. Employee tenure, supervisory depth, subcontractor relationships, recruiting practices and cross-training all become part of the value discussion.</w:t>
      </w:r>
    </w:p>
    <w:p w14:paraId="059FD25D" w14:textId="77777777" w:rsidR="00A81005" w:rsidRDefault="00A93B85">
      <w:pPr>
        <w:pStyle w:val="Heading1"/>
      </w:pPr>
      <w:r>
        <w:lastRenderedPageBreak/>
        <w:t>7. Profitability Is Built Project by Project</w:t>
      </w:r>
    </w:p>
    <w:p w14:paraId="5F55DC07" w14:textId="77777777" w:rsidR="00A81005" w:rsidRDefault="00A93B85">
      <w:r>
        <w:t>Revenue growth alone does not create value. A contractor can grow sales while weakening economically if estimating misses labor requirements, material costs rise faster than pricing, change orders are poorly controlled or project management becomes inefficient.</w:t>
      </w:r>
    </w:p>
    <w:p w14:paraId="7BE6D2C1" w14:textId="77777777" w:rsidR="00A81005" w:rsidRDefault="00A93B85">
      <w:r>
        <w:t>The stronger story is profitable, repeatable growth: disciplined estimating, clear scopes, controlled change orders, reliable labor, good purchasing practices and visibility into gross profit by project type.</w:t>
      </w:r>
    </w:p>
    <w:p w14:paraId="61302AA0" w14:textId="77777777" w:rsidR="00A81005" w:rsidRDefault="00A93B85">
      <w:r>
        <w:t>For an owner, one of the most useful exercises is comparing estimated versus actual gross profit on completed jobs and understanding which types of work consistently produce the best return.</w:t>
      </w:r>
    </w:p>
    <w:p w14:paraId="0FE0275A" w14:textId="77777777" w:rsidR="00A81005" w:rsidRDefault="00A81005"/>
    <w:p w14:paraId="25525867" w14:textId="77777777" w:rsidR="00A81005" w:rsidRDefault="00A93B85">
      <w:pPr>
        <w:pStyle w:val="Heading1"/>
      </w:pPr>
      <w:r>
        <w:t>8. What Can Reduce Value or Slow a Transaction</w:t>
      </w:r>
    </w:p>
    <w:p w14:paraId="63161D71" w14:textId="77777777" w:rsidR="00A81005" w:rsidRDefault="00A93B85">
      <w:pPr>
        <w:pStyle w:val="ListBullet"/>
      </w:pPr>
      <w:r>
        <w:t>The owner personally generates most leads, estimates most jobs or manages every important project.</w:t>
      </w:r>
    </w:p>
    <w:p w14:paraId="62745077" w14:textId="77777777" w:rsidR="00A81005" w:rsidRDefault="00A93B85">
      <w:pPr>
        <w:pStyle w:val="ListBullet"/>
      </w:pPr>
      <w:r>
        <w:t>One builder, designer, property manager, referral source or customer represents an outsized share of revenue.</w:t>
      </w:r>
    </w:p>
    <w:p w14:paraId="233FCBF6" w14:textId="77777777" w:rsidR="00A81005" w:rsidRDefault="00A93B85">
      <w:pPr>
        <w:pStyle w:val="ListBullet"/>
      </w:pPr>
      <w:r>
        <w:t>Backlog is presented as a headline number without visibility into timing, margins or cancellation risk.</w:t>
      </w:r>
    </w:p>
    <w:p w14:paraId="618050F7" w14:textId="77777777" w:rsidR="00A81005" w:rsidRDefault="00A93B85">
      <w:pPr>
        <w:pStyle w:val="ListBullet"/>
      </w:pPr>
      <w:r>
        <w:t>Estimating and job-costing practices do not clearly show which work is profitable.</w:t>
      </w:r>
    </w:p>
    <w:p w14:paraId="12AF0134" w14:textId="77777777" w:rsidR="00A81005" w:rsidRDefault="00A93B85">
      <w:pPr>
        <w:pStyle w:val="ListBullet"/>
      </w:pPr>
      <w:r>
        <w:t>Critical project-management, installation or technical knowledge resides with one person.</w:t>
      </w:r>
    </w:p>
    <w:p w14:paraId="5ECDE9D3" w14:textId="77777777" w:rsidR="00A81005" w:rsidRDefault="00A93B85">
      <w:pPr>
        <w:pStyle w:val="ListBullet"/>
      </w:pPr>
      <w:r>
        <w:t>Financial records do not clearly show normalized earnings or job-level performance.</w:t>
      </w:r>
    </w:p>
    <w:p w14:paraId="1C903DDD" w14:textId="77777777" w:rsidR="00A81005" w:rsidRDefault="00A93B85">
      <w:pPr>
        <w:pStyle w:val="ListBullet"/>
      </w:pPr>
      <w:r>
        <w:t>Margins fluctuate materially without a clear explanation.</w:t>
      </w:r>
    </w:p>
    <w:p w14:paraId="64A20493" w14:textId="77777777" w:rsidR="00A81005" w:rsidRDefault="00A93B85">
      <w:pPr>
        <w:pStyle w:val="ListBullet"/>
      </w:pPr>
      <w:r>
        <w:t>Key employees or subcontractor relationships are difficult to retain or replace.</w:t>
      </w:r>
    </w:p>
    <w:p w14:paraId="36966B92" w14:textId="77777777" w:rsidR="00A81005" w:rsidRDefault="00A93B85">
      <w:pPr>
        <w:pStyle w:val="ListBullet"/>
      </w:pPr>
      <w:r>
        <w:t>Vehicles, tools or equipment require significant near-term replacement.</w:t>
      </w:r>
    </w:p>
    <w:p w14:paraId="43A996A8" w14:textId="77777777" w:rsidR="00A81005" w:rsidRDefault="00A93B85">
      <w:pPr>
        <w:pStyle w:val="ListBullet"/>
      </w:pPr>
      <w:r>
        <w:t>Important licenses, qualifying relationships or specialty credentials depend on the owner.</w:t>
      </w:r>
    </w:p>
    <w:p w14:paraId="5C0583F8" w14:textId="77777777" w:rsidR="00A81005" w:rsidRDefault="00A93B85">
      <w:r>
        <w:t>None of these issues automatically prevents a transaction. They create uncertainty, and uncertainty tends to affect price, terms, transition requirements or all three.</w:t>
      </w:r>
    </w:p>
    <w:p w14:paraId="5AA4B23C" w14:textId="77777777" w:rsidR="00A81005" w:rsidRDefault="00A93B85">
      <w:pPr>
        <w:pStyle w:val="Heading1"/>
      </w:pPr>
      <w:r>
        <w:t>9. Why Two Similar Home Improvement Contractors Can Sell for Very Different Amounts</w:t>
      </w:r>
    </w:p>
    <w:p w14:paraId="7B568C46" w14:textId="77777777" w:rsidR="00A81005" w:rsidRDefault="00A93B85">
      <w:r>
        <w:t>Two contractors can report similar revenue and discretionary earnings while presenting very different levels of risk to a buyer. The difference is usually found in the quality and transferability of the business behind the financial statements.</w:t>
      </w:r>
    </w:p>
    <w:tbl>
      <w:tblPr>
        <w:tblStyle w:val="TableGrid"/>
        <w:tblW w:w="0" w:type="auto"/>
        <w:jc w:val="center"/>
        <w:tblLook w:val="04A0" w:firstRow="1" w:lastRow="0" w:firstColumn="1" w:lastColumn="0" w:noHBand="0" w:noVBand="1"/>
      </w:tblPr>
      <w:tblGrid>
        <w:gridCol w:w="3385"/>
        <w:gridCol w:w="3386"/>
        <w:gridCol w:w="3385"/>
      </w:tblGrid>
      <w:tr w:rsidR="00A81005" w14:paraId="1B34302C" w14:textId="77777777">
        <w:trPr>
          <w:jc w:val="center"/>
        </w:trPr>
        <w:tc>
          <w:tcPr>
            <w:tcW w:w="3389" w:type="dxa"/>
            <w:shd w:val="clear" w:color="auto" w:fill="123D52"/>
            <w:vAlign w:val="center"/>
          </w:tcPr>
          <w:p w14:paraId="42504986" w14:textId="77777777" w:rsidR="00A81005" w:rsidRDefault="00A81005">
            <w:pPr>
              <w:jc w:val="center"/>
            </w:pPr>
          </w:p>
        </w:tc>
        <w:tc>
          <w:tcPr>
            <w:tcW w:w="3389" w:type="dxa"/>
            <w:shd w:val="clear" w:color="auto" w:fill="123D52"/>
            <w:vAlign w:val="center"/>
          </w:tcPr>
          <w:p w14:paraId="1D216955" w14:textId="77777777" w:rsidR="00A81005" w:rsidRDefault="00A93B85">
            <w:pPr>
              <w:jc w:val="center"/>
            </w:pPr>
            <w:r>
              <w:rPr>
                <w:b/>
                <w:color w:val="FFFFFF"/>
                <w:sz w:val="19"/>
              </w:rPr>
              <w:t>Company A</w:t>
            </w:r>
          </w:p>
        </w:tc>
        <w:tc>
          <w:tcPr>
            <w:tcW w:w="3389" w:type="dxa"/>
            <w:shd w:val="clear" w:color="auto" w:fill="123D52"/>
            <w:vAlign w:val="center"/>
          </w:tcPr>
          <w:p w14:paraId="25D29894" w14:textId="77777777" w:rsidR="00A81005" w:rsidRDefault="00A93B85">
            <w:pPr>
              <w:jc w:val="center"/>
            </w:pPr>
            <w:r>
              <w:rPr>
                <w:b/>
                <w:color w:val="FFFFFF"/>
                <w:sz w:val="19"/>
              </w:rPr>
              <w:t>Company B</w:t>
            </w:r>
          </w:p>
        </w:tc>
      </w:tr>
      <w:tr w:rsidR="00A81005" w14:paraId="4F064B3A" w14:textId="77777777">
        <w:trPr>
          <w:jc w:val="center"/>
        </w:trPr>
        <w:tc>
          <w:tcPr>
            <w:tcW w:w="3389" w:type="dxa"/>
          </w:tcPr>
          <w:p w14:paraId="3C28C99F" w14:textId="77777777" w:rsidR="00A81005" w:rsidRDefault="00A93B85">
            <w:r>
              <w:t>Owner role</w:t>
            </w:r>
          </w:p>
        </w:tc>
        <w:tc>
          <w:tcPr>
            <w:tcW w:w="3389" w:type="dxa"/>
          </w:tcPr>
          <w:p w14:paraId="03CBB71A" w14:textId="77777777" w:rsidR="00A81005" w:rsidRDefault="00A93B85">
            <w:r>
              <w:t>Owner sells, estimates and manages major jobs</w:t>
            </w:r>
          </w:p>
        </w:tc>
        <w:tc>
          <w:tcPr>
            <w:tcW w:w="3389" w:type="dxa"/>
          </w:tcPr>
          <w:p w14:paraId="393C07DC" w14:textId="77777777" w:rsidR="00A81005" w:rsidRDefault="00A93B85">
            <w:r>
              <w:t>Estimator / PM structure in place</w:t>
            </w:r>
          </w:p>
        </w:tc>
      </w:tr>
      <w:tr w:rsidR="00A81005" w14:paraId="66B3A28D" w14:textId="77777777">
        <w:trPr>
          <w:jc w:val="center"/>
        </w:trPr>
        <w:tc>
          <w:tcPr>
            <w:tcW w:w="3389" w:type="dxa"/>
          </w:tcPr>
          <w:p w14:paraId="3F80D4C6" w14:textId="77777777" w:rsidR="00A81005" w:rsidRDefault="00A93B85">
            <w:r>
              <w:t>Lead sources</w:t>
            </w:r>
          </w:p>
        </w:tc>
        <w:tc>
          <w:tcPr>
            <w:tcW w:w="3389" w:type="dxa"/>
          </w:tcPr>
          <w:p w14:paraId="4C6F8E90" w14:textId="77777777" w:rsidR="00A81005" w:rsidRDefault="00A93B85">
            <w:r>
              <w:t>Dependent on one or two referral relationships</w:t>
            </w:r>
          </w:p>
        </w:tc>
        <w:tc>
          <w:tcPr>
            <w:tcW w:w="3389" w:type="dxa"/>
          </w:tcPr>
          <w:p w14:paraId="6EBD13F5" w14:textId="77777777" w:rsidR="00A81005" w:rsidRDefault="00A93B85">
            <w:r>
              <w:t>Diversified referral and marketing channels</w:t>
            </w:r>
          </w:p>
        </w:tc>
      </w:tr>
      <w:tr w:rsidR="00A81005" w14:paraId="1A7CE693" w14:textId="77777777">
        <w:trPr>
          <w:jc w:val="center"/>
        </w:trPr>
        <w:tc>
          <w:tcPr>
            <w:tcW w:w="3389" w:type="dxa"/>
          </w:tcPr>
          <w:p w14:paraId="146FE181" w14:textId="77777777" w:rsidR="00A81005" w:rsidRDefault="00A93B85">
            <w:r>
              <w:t>Project economics</w:t>
            </w:r>
          </w:p>
        </w:tc>
        <w:tc>
          <w:tcPr>
            <w:tcW w:w="3389" w:type="dxa"/>
          </w:tcPr>
          <w:p w14:paraId="232AC305" w14:textId="77777777" w:rsidR="00A81005" w:rsidRDefault="00A93B85">
            <w:r>
              <w:t>Margins understood only at year-end</w:t>
            </w:r>
          </w:p>
        </w:tc>
        <w:tc>
          <w:tcPr>
            <w:tcW w:w="3389" w:type="dxa"/>
          </w:tcPr>
          <w:p w14:paraId="3A885049" w14:textId="77777777" w:rsidR="00A81005" w:rsidRDefault="00A93B85">
            <w:r>
              <w:t>Job costing and estimated vs. actual margins tracked</w:t>
            </w:r>
          </w:p>
        </w:tc>
      </w:tr>
      <w:tr w:rsidR="00A81005" w14:paraId="4E06B8F4" w14:textId="77777777">
        <w:trPr>
          <w:jc w:val="center"/>
        </w:trPr>
        <w:tc>
          <w:tcPr>
            <w:tcW w:w="3389" w:type="dxa"/>
          </w:tcPr>
          <w:p w14:paraId="44A65803" w14:textId="77777777" w:rsidR="00A81005" w:rsidRDefault="00A93B85">
            <w:r>
              <w:t>Workforce</w:t>
            </w:r>
          </w:p>
        </w:tc>
        <w:tc>
          <w:tcPr>
            <w:tcW w:w="3389" w:type="dxa"/>
          </w:tcPr>
          <w:p w14:paraId="3C8B5749" w14:textId="77777777" w:rsidR="00A81005" w:rsidRDefault="00A93B85">
            <w:r>
              <w:t>Key knowledge concentrated with owner</w:t>
            </w:r>
          </w:p>
        </w:tc>
        <w:tc>
          <w:tcPr>
            <w:tcW w:w="3389" w:type="dxa"/>
          </w:tcPr>
          <w:p w14:paraId="48A07073" w14:textId="77777777" w:rsidR="00A81005" w:rsidRDefault="00A93B85">
            <w:r>
              <w:t>Experienced project and field leadership</w:t>
            </w:r>
          </w:p>
        </w:tc>
      </w:tr>
      <w:tr w:rsidR="00A81005" w14:paraId="7FF00953" w14:textId="77777777">
        <w:trPr>
          <w:jc w:val="center"/>
        </w:trPr>
        <w:tc>
          <w:tcPr>
            <w:tcW w:w="3389" w:type="dxa"/>
          </w:tcPr>
          <w:p w14:paraId="72F245EC" w14:textId="77777777" w:rsidR="00A81005" w:rsidRDefault="00A93B85">
            <w:r>
              <w:t>Backlog</w:t>
            </w:r>
          </w:p>
        </w:tc>
        <w:tc>
          <w:tcPr>
            <w:tcW w:w="3389" w:type="dxa"/>
          </w:tcPr>
          <w:p w14:paraId="53717468" w14:textId="77777777" w:rsidR="00A81005" w:rsidRDefault="00A93B85">
            <w:r>
              <w:t>Headline number only</w:t>
            </w:r>
          </w:p>
        </w:tc>
        <w:tc>
          <w:tcPr>
            <w:tcW w:w="3389" w:type="dxa"/>
          </w:tcPr>
          <w:p w14:paraId="428B956B" w14:textId="77777777" w:rsidR="00A81005" w:rsidRDefault="00A93B85">
            <w:r>
              <w:t>Backlog supported by timing and margin visibility</w:t>
            </w:r>
          </w:p>
        </w:tc>
      </w:tr>
      <w:tr w:rsidR="00A81005" w14:paraId="65EB12D9" w14:textId="77777777">
        <w:trPr>
          <w:jc w:val="center"/>
        </w:trPr>
        <w:tc>
          <w:tcPr>
            <w:tcW w:w="3389" w:type="dxa"/>
          </w:tcPr>
          <w:p w14:paraId="36A2C517" w14:textId="77777777" w:rsidR="00A81005" w:rsidRDefault="00A93B85">
            <w:r>
              <w:t>Financials</w:t>
            </w:r>
          </w:p>
        </w:tc>
        <w:tc>
          <w:tcPr>
            <w:tcW w:w="3389" w:type="dxa"/>
          </w:tcPr>
          <w:p w14:paraId="1D6FDAA6" w14:textId="77777777" w:rsidR="00A81005" w:rsidRDefault="00A93B85">
            <w:r>
              <w:t>Annual totals with limited job detail</w:t>
            </w:r>
          </w:p>
        </w:tc>
        <w:tc>
          <w:tcPr>
            <w:tcW w:w="3389" w:type="dxa"/>
          </w:tcPr>
          <w:p w14:paraId="6723DD3B" w14:textId="77777777" w:rsidR="00A81005" w:rsidRDefault="00A93B85">
            <w:r>
              <w:t>Clean reporting and normalized earnings visibility</w:t>
            </w:r>
          </w:p>
        </w:tc>
      </w:tr>
    </w:tbl>
    <w:p w14:paraId="063EF6B0" w14:textId="77777777" w:rsidR="00A81005" w:rsidRDefault="00A93B85">
      <w:r>
        <w:t>The financial statements may initially look similar, but Company B presents less transfer risk. That difference can affect buyer depth, deal certainty and valuation.</w:t>
      </w:r>
    </w:p>
    <w:p w14:paraId="388A67F9" w14:textId="77777777" w:rsidR="00A81005" w:rsidRDefault="00A93B85">
      <w:pPr>
        <w:pStyle w:val="Heading1"/>
      </w:pPr>
      <w:r>
        <w:lastRenderedPageBreak/>
        <w:t>10. How to Read the Multiples</w:t>
      </w:r>
    </w:p>
    <w:p w14:paraId="30C3917A" w14:textId="77777777" w:rsidR="00A81005" w:rsidRDefault="00A93B85">
      <w:r>
        <w:t>The 14 Florida transactions averaged 0.606x revenue and 2.373x discretionary earnings. Those are useful market anchors because they represent completed transactions rather than asking prices.</w:t>
      </w:r>
    </w:p>
    <w:p w14:paraId="59B0BCE0" w14:textId="77777777" w:rsidR="00A81005" w:rsidRDefault="00A93B85">
      <w:r>
        <w:t>But the average includes companies with different project mixes, margins, lead sources, customer concentration, management depth and owner involvement. A strong operator can present differently from the average, while a business with inconsistent margins or heavy owner dependence can present more risk.</w:t>
      </w:r>
    </w:p>
    <w:tbl>
      <w:tblPr>
        <w:tblW w:w="0" w:type="auto"/>
        <w:jc w:val="center"/>
        <w:tblLook w:val="04A0" w:firstRow="1" w:lastRow="0" w:firstColumn="1" w:lastColumn="0" w:noHBand="0" w:noVBand="1"/>
      </w:tblPr>
      <w:tblGrid>
        <w:gridCol w:w="10166"/>
      </w:tblGrid>
      <w:tr w:rsidR="00A81005" w14:paraId="0C128BBF" w14:textId="77777777">
        <w:trPr>
          <w:jc w:val="center"/>
        </w:trPr>
        <w:tc>
          <w:tcPr>
            <w:tcW w:w="10166" w:type="dxa"/>
            <w:shd w:val="clear" w:color="auto" w:fill="EEF3F4"/>
          </w:tcPr>
          <w:p w14:paraId="6C4AC91F" w14:textId="77777777" w:rsidR="00A81005" w:rsidRDefault="00A93B85">
            <w:r>
              <w:t>The practical takeaway</w:t>
            </w:r>
            <w:r>
              <w:br/>
              <w:t>Start with the business, not the multiple. Buyers pay more attention to the durability and transferability of earnings than to a statewide average in isolation.</w:t>
            </w:r>
          </w:p>
        </w:tc>
      </w:tr>
    </w:tbl>
    <w:p w14:paraId="3E87DE00" w14:textId="77777777" w:rsidR="00A81005" w:rsidRDefault="00A81005"/>
    <w:p w14:paraId="7D5C8801" w14:textId="77777777" w:rsidR="00A81005" w:rsidRDefault="00A93B85">
      <w:pPr>
        <w:pStyle w:val="Heading1"/>
      </w:pPr>
      <w:r>
        <w:t>11. What an Owner Can Do Before a Sale Is Even on the Calendar</w:t>
      </w:r>
    </w:p>
    <w:p w14:paraId="61DA7EAE" w14:textId="77777777" w:rsidR="00A81005" w:rsidRDefault="00A93B85">
      <w:r>
        <w:t>Separate the revenue streams. Track meaningful project and service categories independently so you know what actually drives sales and profit.</w:t>
      </w:r>
    </w:p>
    <w:p w14:paraId="163ABDD8" w14:textId="77777777" w:rsidR="00A81005" w:rsidRDefault="00A93B85">
      <w:r>
        <w:t>Know where the work comes from. Track customers, referral partners, builders, designers, property managers and marketing channels.</w:t>
      </w:r>
    </w:p>
    <w:p w14:paraId="6691B8C5" w14:textId="77777777" w:rsidR="00A81005" w:rsidRDefault="00A93B85">
      <w:r>
        <w:t>Measure project economics. Compare estimated and actual labor, materials, subcontractors and gross profit.</w:t>
      </w:r>
    </w:p>
    <w:p w14:paraId="7F6A4B55" w14:textId="77777777" w:rsidR="00A81005" w:rsidRDefault="00A93B85">
      <w:r>
        <w:t>Develop project leadership. Make sure scheduling, field supervision and customer communication do not live entirely with the owner.</w:t>
      </w:r>
    </w:p>
    <w:p w14:paraId="2BD9000E" w14:textId="77777777" w:rsidR="00A81005" w:rsidRDefault="00A93B85">
      <w:r>
        <w:t>Protect key relationships. Broaden important customer, referral, supplier and subcontractor relationships beyond one person.</w:t>
      </w:r>
    </w:p>
    <w:p w14:paraId="3EE3DC72" w14:textId="77777777" w:rsidR="00A81005" w:rsidRDefault="00A93B85">
      <w:r>
        <w:t>Document the process. Make estimating, change orders, project management, purchasing and closeout repeatable.</w:t>
      </w:r>
    </w:p>
    <w:p w14:paraId="468CE691" w14:textId="77777777" w:rsidR="00A81005" w:rsidRDefault="00A93B85">
      <w:r>
        <w:t>Keep the financials clean. Make normalized earnings and legitimate owner adjustments easy for an outside party to understand.</w:t>
      </w:r>
    </w:p>
    <w:p w14:paraId="26762AC2" w14:textId="77777777" w:rsidR="00A81005" w:rsidRDefault="00A93B85">
      <w:r>
        <w:t>Review licenses and qualifying relationships. Know which credentials are required and how they would transfer or be replaced.</w:t>
      </w:r>
    </w:p>
    <w:p w14:paraId="1E532567" w14:textId="77777777" w:rsidR="00A81005" w:rsidRDefault="00A93B85">
      <w:r>
        <w:t>Plan before you need to. The Florida transactions reviewed averaged 371 days on market. Preparation gives the owner more control over timing and outcomes.</w:t>
      </w:r>
    </w:p>
    <w:p w14:paraId="76CE9A7C" w14:textId="77777777" w:rsidR="00A81005" w:rsidRDefault="00A93B85">
      <w:r>
        <w:rPr>
          <w:b/>
          <w:color w:val="123D52"/>
        </w:rPr>
        <w:t xml:space="preserve">Plan on time. </w:t>
      </w:r>
      <w:r>
        <w:t>A business that took years to build deserves more than a rushed exit. The Florida transaction set averaged 390 days on market.</w:t>
      </w:r>
    </w:p>
    <w:p w14:paraId="6F097E7B" w14:textId="77777777" w:rsidR="00A81005" w:rsidRDefault="00A93B85">
      <w:pPr>
        <w:pStyle w:val="Heading1"/>
      </w:pPr>
      <w:r>
        <w:t>12. Questions Worth Asking Yourself</w:t>
      </w:r>
    </w:p>
    <w:p w14:paraId="5A462334" w14:textId="77777777" w:rsidR="00A81005" w:rsidRDefault="00A93B85">
      <w:pPr>
        <w:pStyle w:val="ListBullet"/>
      </w:pPr>
      <w:r>
        <w:t>If I stepped away for 60 days, which parts of the company would slow down or stop?</w:t>
      </w:r>
    </w:p>
    <w:p w14:paraId="4FC158BB" w14:textId="77777777" w:rsidR="00A81005" w:rsidRDefault="00A93B85">
      <w:pPr>
        <w:pStyle w:val="ListBullet"/>
      </w:pPr>
      <w:r>
        <w:t>Where does most of our work come from, and which relationships would concern a buyer if they disappeared?</w:t>
      </w:r>
    </w:p>
    <w:p w14:paraId="4775EBC7" w14:textId="77777777" w:rsidR="00A81005" w:rsidRDefault="00A93B85">
      <w:pPr>
        <w:pStyle w:val="ListBullet"/>
      </w:pPr>
      <w:r>
        <w:t>Which project types consistently produce our best gross margins?</w:t>
      </w:r>
    </w:p>
    <w:p w14:paraId="11E31613" w14:textId="77777777" w:rsidR="00A81005" w:rsidRDefault="00A93B85">
      <w:pPr>
        <w:pStyle w:val="ListBullet"/>
      </w:pPr>
      <w:r>
        <w:t>Who can estimate, schedule, manage projects and solve customer problems without me?</w:t>
      </w:r>
    </w:p>
    <w:p w14:paraId="4FD29624" w14:textId="77777777" w:rsidR="00A81005" w:rsidRDefault="00A93B85">
      <w:pPr>
        <w:pStyle w:val="ListBullet"/>
      </w:pPr>
      <w:r>
        <w:t>If I wanted the option to sell in three years, what would I wish I had started fixing today?</w:t>
      </w:r>
    </w:p>
    <w:p w14:paraId="5CD6C89B" w14:textId="77777777" w:rsidR="00A81005" w:rsidRDefault="00A93B85">
      <w:pPr>
        <w:pStyle w:val="ListBullet"/>
      </w:pPr>
      <w:r>
        <w:t>If I wanted the option to sell in three years, what would I wish I had started fixing today?</w:t>
      </w:r>
    </w:p>
    <w:p w14:paraId="36DAC0DE" w14:textId="77777777" w:rsidR="00A81005" w:rsidRDefault="00A93B85">
      <w:pPr>
        <w:pStyle w:val="Heading1"/>
      </w:pPr>
      <w:r>
        <w:t>Bottom Line</w:t>
      </w:r>
    </w:p>
    <w:p w14:paraId="0125E755" w14:textId="77777777" w:rsidR="00A81005" w:rsidRDefault="00A93B85">
      <w:r>
        <w:t>Florida home-improvement and remodeling contractors participate in a large, fragmented market supported by an extensive housing base and ongoing demand for repair, renovation and improvement work.</w:t>
      </w:r>
    </w:p>
    <w:p w14:paraId="262863D3" w14:textId="77777777" w:rsidR="00A81005" w:rsidRDefault="00A93B85">
      <w:r>
        <w:lastRenderedPageBreak/>
        <w:t>The 14 completed Florida transactions show that buyers are active, but the statewide averages are only the starting point. The number that matters for any individual owner depends on the durability, quality and transferability of that company's earnings.</w:t>
      </w:r>
    </w:p>
    <w:p w14:paraId="768A551D" w14:textId="77777777" w:rsidR="00A81005" w:rsidRDefault="00A93B85">
      <w:r>
        <w:t>A strong home-improvement company gives its owner choices. Diversified lead sources, disciplined estimating, dependable project leadership, clean financials and less owner dependence can make the business easier to operate today and easier to transition someday.</w:t>
      </w:r>
    </w:p>
    <w:p w14:paraId="33F03F78" w14:textId="77777777" w:rsidR="00A81005" w:rsidRDefault="00A93B85">
      <w:pPr>
        <w:pStyle w:val="Heading1"/>
      </w:pPr>
      <w:r>
        <w:t>About Todd Topliff</w:t>
      </w:r>
    </w:p>
    <w:p w14:paraId="22BFBF7A" w14:textId="77777777" w:rsidR="00A81005" w:rsidRDefault="00A93B85">
      <w:r>
        <w:t>Todd Topliff is a Business Broker and Transaction Advisor with Corporate Investment Business Brokers. He works with established owner-operated businesses throughout Florida, helping owners understand value, prepare for eventual transitions and navigate confidential business sales.</w:t>
      </w:r>
    </w:p>
    <w:p w14:paraId="31217FD7" w14:textId="77777777" w:rsidR="00A81005" w:rsidRDefault="00A93B85">
      <w:r>
        <w:t>Confidential conversations are always welcome.</w:t>
      </w:r>
    </w:p>
    <w:p w14:paraId="6D3230BF" w14:textId="77777777" w:rsidR="00A81005" w:rsidRDefault="00A93B85">
      <w:pPr>
        <w:pStyle w:val="Heading1"/>
        <w:pageBreakBefore/>
      </w:pPr>
      <w:r>
        <w:lastRenderedPageBreak/>
        <w:t>Sources &amp; Important Notes</w:t>
      </w:r>
    </w:p>
    <w:p w14:paraId="398500D4" w14:textId="77777777" w:rsidR="00A81005" w:rsidRDefault="00A93B85">
      <w:pPr>
        <w:pStyle w:val="ListBullet"/>
      </w:pPr>
      <w:r>
        <w:t>Industry context: IBISWorld, Remodeling in the US, October 2024. Transaction benchmarks: 14 completed Florida Contractor Home Improvement transactions supplied by Todd Topliff. Transaction averages are illustrative market benchmarks and are not a valuation of any specific company.</w:t>
      </w:r>
    </w:p>
    <w:p w14:paraId="3E7D9F28" w14:textId="77777777" w:rsidR="00A81005" w:rsidRDefault="00A93B85">
      <w:pPr>
        <w:pStyle w:val="ListBullet"/>
      </w:pPr>
      <w:r>
        <w:t>This market brief is general educational information. A company-specific analysis requires review of actual financial performance, project mix, customer and referral concentration, workforce, owner role, assets, liabilities and other transaction-specific factors.</w:t>
      </w:r>
    </w:p>
    <w:p w14:paraId="744F88B6" w14:textId="77777777" w:rsidR="00A81005" w:rsidRDefault="00A93B85">
      <w:pPr>
        <w:pStyle w:val="ListBullet"/>
      </w:pPr>
      <w:r>
        <w:t>Vertical IQ, Electrical Contractors, prepared August 18, 2025, NAICS 238210.</w:t>
      </w:r>
    </w:p>
    <w:p w14:paraId="2A3C9D63" w14:textId="77777777" w:rsidR="00A81005" w:rsidRDefault="00A93B85">
      <w:pPr>
        <w:pStyle w:val="ListBullet"/>
      </w:pPr>
      <w:r>
        <w:t>Vertical IQ valuation summary citing DealStats electrical contractor transaction data through June 1, 2025.</w:t>
      </w:r>
    </w:p>
    <w:p w14:paraId="726EAEC3" w14:textId="77777777" w:rsidR="00A81005" w:rsidRDefault="00A93B85">
      <w:r>
        <w:rPr>
          <w:b/>
        </w:rPr>
        <w:t xml:space="preserve">Important: </w:t>
      </w:r>
      <w:r>
        <w:t>This market brief is general educational information. Transaction averages and industry benchmarks are not a valuation of any specific company and should not be applied mechanically. A company-specific analysis requires review of financial performance, revenue mix, customer concentration, backlog, workforce, owner involvement, assets, liabilities and other transaction-specific factors.</w:t>
      </w:r>
    </w:p>
    <w:sectPr w:rsidR="00A81005"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8FCD" w14:textId="77777777" w:rsidR="00A93B85" w:rsidRDefault="00A93B85">
      <w:pPr>
        <w:spacing w:after="0" w:line="240" w:lineRule="auto"/>
      </w:pPr>
      <w:r>
        <w:separator/>
      </w:r>
    </w:p>
  </w:endnote>
  <w:endnote w:type="continuationSeparator" w:id="0">
    <w:p w14:paraId="53240B3F" w14:textId="77777777" w:rsidR="00A93B85" w:rsidRDefault="00A9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1854" w14:textId="77777777" w:rsidR="00A81005" w:rsidRDefault="00A93B85">
    <w:pPr>
      <w:pStyle w:val="Footer"/>
      <w:jc w:val="center"/>
    </w:pPr>
    <w:r>
      <w:t>Florida Construction - Home Improvement Market Brief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85DB" w14:textId="77777777" w:rsidR="00A93B85" w:rsidRDefault="00A93B85">
      <w:pPr>
        <w:spacing w:after="0" w:line="240" w:lineRule="auto"/>
      </w:pPr>
      <w:r>
        <w:separator/>
      </w:r>
    </w:p>
  </w:footnote>
  <w:footnote w:type="continuationSeparator" w:id="0">
    <w:p w14:paraId="09346B97" w14:textId="77777777" w:rsidR="00A93B85" w:rsidRDefault="00A93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2182" w14:textId="77777777" w:rsidR="00A81005" w:rsidRDefault="00A93B85">
    <w:pPr>
      <w:pStyle w:val="Header"/>
      <w:jc w:val="right"/>
    </w:pPr>
    <w:r>
      <w:t xml:space="preserve">TODD </w:t>
    </w:r>
    <w:proofErr w:type="gramStart"/>
    <w:r>
      <w:t>TOPLIFF  |</w:t>
    </w:r>
    <w:proofErr w:type="gramEnd"/>
    <w:r>
      <w:t xml:space="preserve">  BUSINESS BROKER &amp; TRANSACTION ADVISOR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2049740">
    <w:abstractNumId w:val="8"/>
  </w:num>
  <w:num w:numId="2" w16cid:durableId="597636170">
    <w:abstractNumId w:val="6"/>
  </w:num>
  <w:num w:numId="3" w16cid:durableId="21366581">
    <w:abstractNumId w:val="5"/>
  </w:num>
  <w:num w:numId="4" w16cid:durableId="51118552">
    <w:abstractNumId w:val="4"/>
  </w:num>
  <w:num w:numId="5" w16cid:durableId="2120757512">
    <w:abstractNumId w:val="7"/>
  </w:num>
  <w:num w:numId="6" w16cid:durableId="2141728378">
    <w:abstractNumId w:val="3"/>
  </w:num>
  <w:num w:numId="7" w16cid:durableId="813643519">
    <w:abstractNumId w:val="2"/>
  </w:num>
  <w:num w:numId="8" w16cid:durableId="267390371">
    <w:abstractNumId w:val="1"/>
  </w:num>
  <w:num w:numId="9" w16cid:durableId="33496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A1920"/>
    <w:rsid w:val="009D401B"/>
    <w:rsid w:val="00A81005"/>
    <w:rsid w:val="00A93B8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BBC798"/>
  <w14:defaultImageDpi w14:val="300"/>
  <w15:docId w15:val="{75129E3C-55F4-4B73-9E9C-A6AE369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23D5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2F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05C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D52"/>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120"/>
    </w:pPr>
    <w:rPr>
      <w:rFonts w:ascii="Aptos" w:hAnsi="Aptos"/>
      <w:b/>
      <w:color w:val="123D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2585</Words>
  <Characters>14739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Todd  Topliff</cp:lastModifiedBy>
  <cp:revision>2</cp:revision>
  <dcterms:created xsi:type="dcterms:W3CDTF">2026-08-13T13:22:00Z</dcterms:created>
  <dcterms:modified xsi:type="dcterms:W3CDTF">2026-08-13T13:22:00Z</dcterms:modified>
  <cp:category/>
</cp:coreProperties>
</file>