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F489" w14:textId="77777777" w:rsidR="00D43F43" w:rsidRDefault="008B0074">
      <w:pPr>
        <w:pStyle w:val="Title"/>
      </w:pPr>
      <w:r>
        <w:t>Florida Electrical Contractor</w:t>
      </w:r>
      <w:r>
        <w:br/>
        <w:t>Market Brief</w:t>
      </w:r>
    </w:p>
    <w:p w14:paraId="79E029F2" w14:textId="77777777" w:rsidR="00D43F43" w:rsidRDefault="008B0074">
      <w:r>
        <w:rPr>
          <w:b/>
          <w:color w:val="E05C2A"/>
          <w:sz w:val="27"/>
        </w:rPr>
        <w:t>Market Conditions, Buyer Trends &amp; Business Sale Benchmarks</w:t>
      </w:r>
    </w:p>
    <w:p w14:paraId="27B6249F" w14:textId="77777777" w:rsidR="00D43F43" w:rsidRDefault="008B0074">
      <w:r>
        <w:rPr>
          <w:b/>
          <w:color w:val="1F2F2A"/>
          <w:sz w:val="24"/>
        </w:rPr>
        <w:t>2026 Edition</w:t>
      </w:r>
    </w:p>
    <w:p w14:paraId="11A7BD68" w14:textId="77777777" w:rsidR="00D43F43" w:rsidRDefault="00D43F43">
      <w:pPr>
        <w:pBdr>
          <w:bottom w:val="single" w:sz="18" w:space="1" w:color="A7CFCB"/>
        </w:pBdr>
        <w:spacing w:before="40" w:after="160"/>
      </w:pPr>
    </w:p>
    <w:tbl>
      <w:tblPr>
        <w:tblW w:w="0" w:type="auto"/>
        <w:jc w:val="center"/>
        <w:tblLook w:val="04A0" w:firstRow="1" w:lastRow="0" w:firstColumn="1" w:lastColumn="0" w:noHBand="0" w:noVBand="1"/>
      </w:tblPr>
      <w:tblGrid>
        <w:gridCol w:w="3388"/>
        <w:gridCol w:w="3389"/>
        <w:gridCol w:w="3389"/>
      </w:tblGrid>
      <w:tr w:rsidR="00D43F43" w14:paraId="23A498B7" w14:textId="77777777">
        <w:trPr>
          <w:jc w:val="center"/>
        </w:trPr>
        <w:tc>
          <w:tcPr>
            <w:tcW w:w="3389" w:type="dxa"/>
            <w:shd w:val="clear" w:color="auto" w:fill="F7F3EA"/>
          </w:tcPr>
          <w:p w14:paraId="6B1A09DB" w14:textId="77777777" w:rsidR="00D43F43" w:rsidRDefault="008B0074">
            <w:pPr>
              <w:jc w:val="center"/>
            </w:pPr>
            <w:r>
              <w:rPr>
                <w:b/>
                <w:color w:val="123D52"/>
                <w:sz w:val="40"/>
              </w:rPr>
              <w:t>41</w:t>
            </w:r>
          </w:p>
          <w:p w14:paraId="60F916E9" w14:textId="77777777" w:rsidR="00D43F43" w:rsidRDefault="008B0074">
            <w:pPr>
              <w:jc w:val="center"/>
            </w:pPr>
            <w:r>
              <w:rPr>
                <w:color w:val="666666"/>
                <w:sz w:val="17"/>
              </w:rPr>
              <w:t>Florida transactions analyzed</w:t>
            </w:r>
          </w:p>
        </w:tc>
        <w:tc>
          <w:tcPr>
            <w:tcW w:w="3389" w:type="dxa"/>
            <w:shd w:val="clear" w:color="auto" w:fill="F7F3EA"/>
          </w:tcPr>
          <w:p w14:paraId="4EF0C854" w14:textId="77777777" w:rsidR="00D43F43" w:rsidRDefault="008B0074">
            <w:pPr>
              <w:jc w:val="center"/>
            </w:pPr>
            <w:r>
              <w:rPr>
                <w:b/>
                <w:color w:val="123D52"/>
                <w:sz w:val="40"/>
              </w:rPr>
              <w:t>$1.44M</w:t>
            </w:r>
          </w:p>
          <w:p w14:paraId="064216A3" w14:textId="77777777" w:rsidR="00D43F43" w:rsidRDefault="008B0074">
            <w:pPr>
              <w:jc w:val="center"/>
            </w:pPr>
            <w:r>
              <w:rPr>
                <w:color w:val="666666"/>
                <w:sz w:val="17"/>
              </w:rPr>
              <w:t>Average sold price</w:t>
            </w:r>
          </w:p>
        </w:tc>
        <w:tc>
          <w:tcPr>
            <w:tcW w:w="3389" w:type="dxa"/>
            <w:shd w:val="clear" w:color="auto" w:fill="F7F3EA"/>
          </w:tcPr>
          <w:p w14:paraId="306B0FB5" w14:textId="77777777" w:rsidR="00D43F43" w:rsidRDefault="008B0074">
            <w:pPr>
              <w:jc w:val="center"/>
            </w:pPr>
            <w:r>
              <w:rPr>
                <w:b/>
                <w:color w:val="123D52"/>
                <w:sz w:val="40"/>
              </w:rPr>
              <w:t>2.57x</w:t>
            </w:r>
          </w:p>
          <w:p w14:paraId="164657D7" w14:textId="77777777" w:rsidR="00D43F43" w:rsidRDefault="008B0074">
            <w:pPr>
              <w:jc w:val="center"/>
            </w:pPr>
            <w:r>
              <w:rPr>
                <w:color w:val="666666"/>
                <w:sz w:val="17"/>
              </w:rPr>
              <w:t>Average sold price / SDE</w:t>
            </w:r>
          </w:p>
        </w:tc>
      </w:tr>
    </w:tbl>
    <w:p w14:paraId="7C837480" w14:textId="77777777" w:rsidR="00D43F43" w:rsidRDefault="00D43F43"/>
    <w:p w14:paraId="5A195267" w14:textId="77777777" w:rsidR="00D43F43" w:rsidRDefault="008B0074">
      <w:r>
        <w:rPr>
          <w:b/>
          <w:sz w:val="24"/>
        </w:rPr>
        <w:t>Prepared by Todd Topliff</w:t>
      </w:r>
    </w:p>
    <w:p w14:paraId="187B15A8" w14:textId="77777777" w:rsidR="00D43F43" w:rsidRDefault="008B0074">
      <w:r>
        <w:t>Business Broker &amp; Transaction Advisor</w:t>
      </w:r>
      <w:r>
        <w:br/>
        <w:t>Corporate Investment Business Brokers</w:t>
      </w:r>
    </w:p>
    <w:p w14:paraId="44FA9883" w14:textId="77777777" w:rsidR="00D43F43" w:rsidRDefault="008B0074">
      <w:r>
        <w:t>For established owner-operated electrical contracting businesses throughout Florida.</w:t>
      </w:r>
    </w:p>
    <w:p w14:paraId="5CB9A232" w14:textId="77777777" w:rsidR="00D43F43" w:rsidRDefault="00D43F43"/>
    <w:p w14:paraId="58903260" w14:textId="77777777" w:rsidR="00D43F43" w:rsidRDefault="008B0074">
      <w:r>
        <w:rPr>
          <w:b/>
        </w:rPr>
        <w:t xml:space="preserve">Source note: </w:t>
      </w:r>
      <w:r>
        <w:t>This brief combines Florida closed-transaction data supplied by Todd Topliff with industry research from IBISWorld (November 2024) and Vertical IQ (August 2025).</w:t>
      </w:r>
    </w:p>
    <w:p w14:paraId="2EE98164" w14:textId="77777777" w:rsidR="00D43F43" w:rsidRDefault="008B0074">
      <w:r>
        <w:br w:type="page"/>
      </w:r>
    </w:p>
    <w:p w14:paraId="4F159E1D" w14:textId="77777777" w:rsidR="00D43F43" w:rsidRDefault="008B0074">
      <w:pPr>
        <w:pStyle w:val="Heading1"/>
      </w:pPr>
      <w:r>
        <w:lastRenderedPageBreak/>
        <w:t>Why This Brief Matters</w:t>
      </w:r>
    </w:p>
    <w:p w14:paraId="0B5F8EA3" w14:textId="77777777" w:rsidR="00D43F43" w:rsidRDefault="008B0074">
      <w:r>
        <w:t>If you own an established electrical contracting company in Florida, most of your attention is probably on the business in front of you: keeping good electricians, maintaining backlog, estimating accurately, completing work on time, managing customer relationships, and making sure the next project is ready when the current one finishes.</w:t>
      </w:r>
    </w:p>
    <w:p w14:paraId="6BEFBD5B" w14:textId="77777777" w:rsidR="00D43F43" w:rsidRDefault="008B0074">
      <w:r>
        <w:t>Those same operating realities are also what determine how a future buyer views the company. The question is not simply what electrical contractors sell for. The more useful question is why one electrical contractor attracts stronger buyer interest, better terms, and a more certain transition than another.</w:t>
      </w:r>
    </w:p>
    <w:tbl>
      <w:tblPr>
        <w:tblW w:w="0" w:type="auto"/>
        <w:jc w:val="center"/>
        <w:tblLook w:val="04A0" w:firstRow="1" w:lastRow="0" w:firstColumn="1" w:lastColumn="0" w:noHBand="0" w:noVBand="1"/>
      </w:tblPr>
      <w:tblGrid>
        <w:gridCol w:w="10166"/>
      </w:tblGrid>
      <w:tr w:rsidR="00D43F43" w14:paraId="3E03D6F9" w14:textId="77777777">
        <w:trPr>
          <w:jc w:val="center"/>
        </w:trPr>
        <w:tc>
          <w:tcPr>
            <w:tcW w:w="10166" w:type="dxa"/>
            <w:shd w:val="clear" w:color="auto" w:fill="EEF3F4"/>
          </w:tcPr>
          <w:p w14:paraId="67404A76" w14:textId="77777777" w:rsidR="00D43F43" w:rsidRDefault="008B0074">
            <w:r>
              <w:rPr>
                <w:b/>
                <w:color w:val="123D52"/>
                <w:sz w:val="23"/>
              </w:rPr>
              <w:t>The owner's objective</w:t>
            </w:r>
          </w:p>
          <w:p w14:paraId="28757B31" w14:textId="77777777" w:rsidR="00D43F43" w:rsidRDefault="008B0074">
            <w:r>
              <w:rPr>
                <w:color w:val="243238"/>
              </w:rPr>
              <w:t>The goal does not have to be selling today. It is understanding what has been built, where the business is strong, where risk sits, and what can be improved now to create more options later.</w:t>
            </w:r>
          </w:p>
        </w:tc>
      </w:tr>
    </w:tbl>
    <w:p w14:paraId="345AF5EF" w14:textId="77777777" w:rsidR="00D43F43" w:rsidRDefault="008B0074">
      <w:pPr>
        <w:pStyle w:val="Heading1"/>
      </w:pPr>
      <w:r>
        <w:t>1. What Florida Electrical Contractors Have Actually Sold For</w:t>
      </w:r>
    </w:p>
    <w:p w14:paraId="2099A5BF" w14:textId="77777777" w:rsidR="00D43F43" w:rsidRDefault="008B0074">
      <w:r>
        <w:t>A review of 41 completed Florida electrical contractor transactions provides a practical starting point for understanding the market. The transactions include companies of different sizes, revenue mixes, geographic markets and owner involvement, so the averages should be treated as benchmarks rather than a valuation formula.</w:t>
      </w:r>
    </w:p>
    <w:tbl>
      <w:tblPr>
        <w:tblStyle w:val="TableGrid"/>
        <w:tblW w:w="0" w:type="auto"/>
        <w:jc w:val="center"/>
        <w:tblLook w:val="04A0" w:firstRow="1" w:lastRow="0" w:firstColumn="1" w:lastColumn="0" w:noHBand="0" w:noVBand="1"/>
      </w:tblPr>
      <w:tblGrid>
        <w:gridCol w:w="5078"/>
        <w:gridCol w:w="5078"/>
      </w:tblGrid>
      <w:tr w:rsidR="00D43F43" w14:paraId="77DBA5E6" w14:textId="77777777">
        <w:trPr>
          <w:jc w:val="center"/>
        </w:trPr>
        <w:tc>
          <w:tcPr>
            <w:tcW w:w="5083" w:type="dxa"/>
            <w:shd w:val="clear" w:color="auto" w:fill="123D52"/>
            <w:vAlign w:val="center"/>
          </w:tcPr>
          <w:p w14:paraId="417854A6" w14:textId="77777777" w:rsidR="00D43F43" w:rsidRDefault="008B0074">
            <w:r>
              <w:rPr>
                <w:b/>
                <w:color w:val="FFFFFF"/>
              </w:rPr>
              <w:t>Florida Transaction Metric</w:t>
            </w:r>
          </w:p>
        </w:tc>
        <w:tc>
          <w:tcPr>
            <w:tcW w:w="5083" w:type="dxa"/>
            <w:shd w:val="clear" w:color="auto" w:fill="123D52"/>
            <w:vAlign w:val="center"/>
          </w:tcPr>
          <w:p w14:paraId="405429FD" w14:textId="77777777" w:rsidR="00D43F43" w:rsidRDefault="008B0074">
            <w:pPr>
              <w:jc w:val="right"/>
            </w:pPr>
            <w:r>
              <w:rPr>
                <w:b/>
                <w:color w:val="FFFFFF"/>
              </w:rPr>
              <w:t>Average</w:t>
            </w:r>
          </w:p>
        </w:tc>
      </w:tr>
      <w:tr w:rsidR="00D43F43" w14:paraId="62399FA5" w14:textId="77777777">
        <w:trPr>
          <w:jc w:val="center"/>
        </w:trPr>
        <w:tc>
          <w:tcPr>
            <w:tcW w:w="5083" w:type="dxa"/>
            <w:vAlign w:val="center"/>
          </w:tcPr>
          <w:p w14:paraId="40786456" w14:textId="77777777" w:rsidR="00D43F43" w:rsidRDefault="008B0074">
            <w:r>
              <w:rPr>
                <w:sz w:val="18"/>
              </w:rPr>
              <w:t>Completed transactions</w:t>
            </w:r>
          </w:p>
        </w:tc>
        <w:tc>
          <w:tcPr>
            <w:tcW w:w="5083" w:type="dxa"/>
            <w:vAlign w:val="center"/>
          </w:tcPr>
          <w:p w14:paraId="65AE13C7" w14:textId="77777777" w:rsidR="00D43F43" w:rsidRDefault="008B0074">
            <w:pPr>
              <w:jc w:val="right"/>
            </w:pPr>
            <w:r>
              <w:rPr>
                <w:b/>
                <w:color w:val="123D52"/>
                <w:sz w:val="19"/>
              </w:rPr>
              <w:t>41</w:t>
            </w:r>
          </w:p>
        </w:tc>
      </w:tr>
      <w:tr w:rsidR="00D43F43" w14:paraId="400DFD20" w14:textId="77777777">
        <w:trPr>
          <w:jc w:val="center"/>
        </w:trPr>
        <w:tc>
          <w:tcPr>
            <w:tcW w:w="5083" w:type="dxa"/>
            <w:vAlign w:val="center"/>
          </w:tcPr>
          <w:p w14:paraId="57AE5B6D" w14:textId="77777777" w:rsidR="00D43F43" w:rsidRDefault="008B0074">
            <w:r>
              <w:rPr>
                <w:sz w:val="18"/>
              </w:rPr>
              <w:t>Average annual sales</w:t>
            </w:r>
          </w:p>
        </w:tc>
        <w:tc>
          <w:tcPr>
            <w:tcW w:w="5083" w:type="dxa"/>
            <w:vAlign w:val="center"/>
          </w:tcPr>
          <w:p w14:paraId="56F6404F" w14:textId="77777777" w:rsidR="00D43F43" w:rsidRDefault="008B0074">
            <w:pPr>
              <w:jc w:val="right"/>
            </w:pPr>
            <w:r>
              <w:rPr>
                <w:b/>
                <w:color w:val="123D52"/>
                <w:sz w:val="19"/>
              </w:rPr>
              <w:t>$2,460,812</w:t>
            </w:r>
          </w:p>
        </w:tc>
      </w:tr>
      <w:tr w:rsidR="00D43F43" w14:paraId="5E31606F" w14:textId="77777777">
        <w:trPr>
          <w:jc w:val="center"/>
        </w:trPr>
        <w:tc>
          <w:tcPr>
            <w:tcW w:w="5083" w:type="dxa"/>
            <w:vAlign w:val="center"/>
          </w:tcPr>
          <w:p w14:paraId="73B49A13" w14:textId="77777777" w:rsidR="00D43F43" w:rsidRDefault="008B0074">
            <w:r>
              <w:rPr>
                <w:sz w:val="18"/>
              </w:rPr>
              <w:t>Average sold price</w:t>
            </w:r>
          </w:p>
        </w:tc>
        <w:tc>
          <w:tcPr>
            <w:tcW w:w="5083" w:type="dxa"/>
            <w:vAlign w:val="center"/>
          </w:tcPr>
          <w:p w14:paraId="7287C8DB" w14:textId="77777777" w:rsidR="00D43F43" w:rsidRDefault="008B0074">
            <w:pPr>
              <w:jc w:val="right"/>
            </w:pPr>
            <w:r>
              <w:rPr>
                <w:b/>
                <w:color w:val="123D52"/>
                <w:sz w:val="19"/>
              </w:rPr>
              <w:t>$1,438,617</w:t>
            </w:r>
          </w:p>
        </w:tc>
      </w:tr>
      <w:tr w:rsidR="00D43F43" w14:paraId="678279C3" w14:textId="77777777">
        <w:trPr>
          <w:jc w:val="center"/>
        </w:trPr>
        <w:tc>
          <w:tcPr>
            <w:tcW w:w="5083" w:type="dxa"/>
            <w:vAlign w:val="center"/>
          </w:tcPr>
          <w:p w14:paraId="274D6B4D" w14:textId="77777777" w:rsidR="00D43F43" w:rsidRDefault="008B0074">
            <w:r>
              <w:rPr>
                <w:sz w:val="18"/>
              </w:rPr>
              <w:t>Average discretionary earnings</w:t>
            </w:r>
          </w:p>
        </w:tc>
        <w:tc>
          <w:tcPr>
            <w:tcW w:w="5083" w:type="dxa"/>
            <w:vAlign w:val="center"/>
          </w:tcPr>
          <w:p w14:paraId="601A2ECE" w14:textId="77777777" w:rsidR="00D43F43" w:rsidRDefault="008B0074">
            <w:pPr>
              <w:jc w:val="right"/>
            </w:pPr>
            <w:r>
              <w:rPr>
                <w:b/>
                <w:color w:val="123D52"/>
                <w:sz w:val="19"/>
              </w:rPr>
              <w:t>$585,812</w:t>
            </w:r>
          </w:p>
        </w:tc>
      </w:tr>
      <w:tr w:rsidR="00D43F43" w14:paraId="7EE5EAFC" w14:textId="77777777">
        <w:trPr>
          <w:jc w:val="center"/>
        </w:trPr>
        <w:tc>
          <w:tcPr>
            <w:tcW w:w="5083" w:type="dxa"/>
            <w:vAlign w:val="center"/>
          </w:tcPr>
          <w:p w14:paraId="13862162" w14:textId="77777777" w:rsidR="00D43F43" w:rsidRDefault="008B0074">
            <w:r>
              <w:rPr>
                <w:sz w:val="18"/>
              </w:rPr>
              <w:t>Sold price / sales</w:t>
            </w:r>
          </w:p>
        </w:tc>
        <w:tc>
          <w:tcPr>
            <w:tcW w:w="5083" w:type="dxa"/>
            <w:vAlign w:val="center"/>
          </w:tcPr>
          <w:p w14:paraId="1BBB6387" w14:textId="77777777" w:rsidR="00D43F43" w:rsidRDefault="008B0074">
            <w:pPr>
              <w:jc w:val="right"/>
            </w:pPr>
            <w:r>
              <w:rPr>
                <w:b/>
                <w:color w:val="123D52"/>
                <w:sz w:val="19"/>
              </w:rPr>
              <w:t>0.594x</w:t>
            </w:r>
          </w:p>
        </w:tc>
      </w:tr>
      <w:tr w:rsidR="00D43F43" w14:paraId="455F5DDF" w14:textId="77777777">
        <w:trPr>
          <w:jc w:val="center"/>
        </w:trPr>
        <w:tc>
          <w:tcPr>
            <w:tcW w:w="5083" w:type="dxa"/>
            <w:vAlign w:val="center"/>
          </w:tcPr>
          <w:p w14:paraId="5574C78C" w14:textId="77777777" w:rsidR="00D43F43" w:rsidRDefault="008B0074">
            <w:r>
              <w:rPr>
                <w:sz w:val="18"/>
              </w:rPr>
              <w:t>Discretionary earnings / sales</w:t>
            </w:r>
          </w:p>
        </w:tc>
        <w:tc>
          <w:tcPr>
            <w:tcW w:w="5083" w:type="dxa"/>
            <w:vAlign w:val="center"/>
          </w:tcPr>
          <w:p w14:paraId="7C182564" w14:textId="77777777" w:rsidR="00D43F43" w:rsidRDefault="008B0074">
            <w:pPr>
              <w:jc w:val="right"/>
            </w:pPr>
            <w:r>
              <w:rPr>
                <w:b/>
                <w:color w:val="123D52"/>
                <w:sz w:val="19"/>
              </w:rPr>
              <w:t>26.9%</w:t>
            </w:r>
          </w:p>
        </w:tc>
      </w:tr>
      <w:tr w:rsidR="00D43F43" w14:paraId="10F3F8D0" w14:textId="77777777">
        <w:trPr>
          <w:jc w:val="center"/>
        </w:trPr>
        <w:tc>
          <w:tcPr>
            <w:tcW w:w="5083" w:type="dxa"/>
            <w:vAlign w:val="center"/>
          </w:tcPr>
          <w:p w14:paraId="76A10741" w14:textId="77777777" w:rsidR="00D43F43" w:rsidRDefault="008B0074">
            <w:r>
              <w:rPr>
                <w:sz w:val="18"/>
              </w:rPr>
              <w:t>Sold price / discretionary earnings</w:t>
            </w:r>
          </w:p>
        </w:tc>
        <w:tc>
          <w:tcPr>
            <w:tcW w:w="5083" w:type="dxa"/>
            <w:vAlign w:val="center"/>
          </w:tcPr>
          <w:p w14:paraId="1AA04140" w14:textId="77777777" w:rsidR="00D43F43" w:rsidRDefault="008B0074">
            <w:pPr>
              <w:jc w:val="right"/>
            </w:pPr>
            <w:r>
              <w:rPr>
                <w:b/>
                <w:color w:val="123D52"/>
                <w:sz w:val="19"/>
              </w:rPr>
              <w:t>2.570x</w:t>
            </w:r>
          </w:p>
        </w:tc>
      </w:tr>
      <w:tr w:rsidR="00D43F43" w14:paraId="5E3F808A" w14:textId="77777777">
        <w:trPr>
          <w:jc w:val="center"/>
        </w:trPr>
        <w:tc>
          <w:tcPr>
            <w:tcW w:w="5083" w:type="dxa"/>
            <w:vAlign w:val="center"/>
          </w:tcPr>
          <w:p w14:paraId="7A9CFEC1" w14:textId="77777777" w:rsidR="00D43F43" w:rsidRDefault="008B0074">
            <w:r>
              <w:rPr>
                <w:sz w:val="18"/>
              </w:rPr>
              <w:t>Rent / sales</w:t>
            </w:r>
          </w:p>
        </w:tc>
        <w:tc>
          <w:tcPr>
            <w:tcW w:w="5083" w:type="dxa"/>
            <w:vAlign w:val="center"/>
          </w:tcPr>
          <w:p w14:paraId="73E61EFB" w14:textId="77777777" w:rsidR="00D43F43" w:rsidRDefault="008B0074">
            <w:pPr>
              <w:jc w:val="right"/>
            </w:pPr>
            <w:r>
              <w:rPr>
                <w:b/>
                <w:color w:val="123D52"/>
                <w:sz w:val="19"/>
              </w:rPr>
              <w:t>1.8%</w:t>
            </w:r>
          </w:p>
        </w:tc>
      </w:tr>
      <w:tr w:rsidR="00D43F43" w14:paraId="2B9BA6B9" w14:textId="77777777">
        <w:trPr>
          <w:jc w:val="center"/>
        </w:trPr>
        <w:tc>
          <w:tcPr>
            <w:tcW w:w="5083" w:type="dxa"/>
            <w:vAlign w:val="center"/>
          </w:tcPr>
          <w:p w14:paraId="453303A0" w14:textId="77777777" w:rsidR="00D43F43" w:rsidRDefault="008B0074">
            <w:r>
              <w:rPr>
                <w:sz w:val="18"/>
              </w:rPr>
              <w:t>Sold price / asking price</w:t>
            </w:r>
          </w:p>
        </w:tc>
        <w:tc>
          <w:tcPr>
            <w:tcW w:w="5083" w:type="dxa"/>
            <w:vAlign w:val="center"/>
          </w:tcPr>
          <w:p w14:paraId="511EF4A1" w14:textId="77777777" w:rsidR="00D43F43" w:rsidRDefault="008B0074">
            <w:pPr>
              <w:jc w:val="right"/>
            </w:pPr>
            <w:r>
              <w:rPr>
                <w:b/>
                <w:color w:val="123D52"/>
                <w:sz w:val="19"/>
              </w:rPr>
              <w:t>77.9%</w:t>
            </w:r>
          </w:p>
        </w:tc>
      </w:tr>
      <w:tr w:rsidR="00D43F43" w14:paraId="248809F4" w14:textId="77777777">
        <w:trPr>
          <w:jc w:val="center"/>
        </w:trPr>
        <w:tc>
          <w:tcPr>
            <w:tcW w:w="5083" w:type="dxa"/>
            <w:vAlign w:val="center"/>
          </w:tcPr>
          <w:p w14:paraId="0D57BFB5" w14:textId="77777777" w:rsidR="00D43F43" w:rsidRDefault="008B0074">
            <w:r>
              <w:rPr>
                <w:sz w:val="18"/>
              </w:rPr>
              <w:t>Average days on market</w:t>
            </w:r>
          </w:p>
        </w:tc>
        <w:tc>
          <w:tcPr>
            <w:tcW w:w="5083" w:type="dxa"/>
            <w:vAlign w:val="center"/>
          </w:tcPr>
          <w:p w14:paraId="7A623494" w14:textId="77777777" w:rsidR="00D43F43" w:rsidRDefault="008B0074">
            <w:pPr>
              <w:jc w:val="right"/>
            </w:pPr>
            <w:r>
              <w:rPr>
                <w:b/>
                <w:color w:val="123D52"/>
                <w:sz w:val="19"/>
              </w:rPr>
              <w:t>390 days</w:t>
            </w:r>
          </w:p>
        </w:tc>
      </w:tr>
    </w:tbl>
    <w:p w14:paraId="11F2969B" w14:textId="77777777" w:rsidR="00D43F43" w:rsidRDefault="008B0074">
      <w:r>
        <w:t>In simple terms, the average completed Florida transaction in this set involved approximately $2.46 million in annual revenue, $586,000 in discretionary earnings and a $1.44 million sold price.</w:t>
      </w:r>
    </w:p>
    <w:p w14:paraId="22887E4B" w14:textId="77777777" w:rsidR="00D43F43" w:rsidRDefault="008B0074">
      <w:pPr>
        <w:pStyle w:val="Heading2"/>
      </w:pPr>
      <w:r>
        <w:t>What the averages do and do not tell us</w:t>
      </w:r>
    </w:p>
    <w:p w14:paraId="6961CFBF" w14:textId="77777777" w:rsidR="00D43F43" w:rsidRDefault="008B0074">
      <w:r>
        <w:t>The average 2.57x discretionary-earnings multiple is useful market evidence, but it is not a shortcut to value. A company with diversified customers, strong supervisors, recurring service work, clean financials and limited owner dependence can be materially different from a company with the same earnings but concentrated customers, thin management and an owner who personally estimates and manages every important job.</w:t>
      </w:r>
    </w:p>
    <w:p w14:paraId="686BBDAF" w14:textId="77777777" w:rsidR="00D43F43" w:rsidRDefault="008B0074">
      <w:r>
        <w:t>The 390-day average time on market is equally important. It reinforces that a business transition is usually a process rather than an event. Preparation, positioning, confidentiality and buyer fit all affect the path from decision to closing.</w:t>
      </w:r>
    </w:p>
    <w:p w14:paraId="0858C09D" w14:textId="77777777" w:rsidR="00D43F43" w:rsidRDefault="00D43F43"/>
    <w:p w14:paraId="4FE1F8F0" w14:textId="77777777" w:rsidR="00D43F43" w:rsidRDefault="008B0074">
      <w:pPr>
        <w:pStyle w:val="Heading1"/>
      </w:pPr>
      <w:r>
        <w:lastRenderedPageBreak/>
        <w:t>2. The Electrical Contracting Market Is Large, Essential and Highly Fragmented</w:t>
      </w:r>
    </w:p>
    <w:p w14:paraId="2B17E7FB" w14:textId="77777777" w:rsidR="00D43F43" w:rsidRDefault="008B0074">
      <w:r>
        <w:t>IBISWorld reported approximately $255.4 billion of U.S. electrician-industry revenue in 2024, roughly one million employees and about 242,000 businesses. Its outlook projected industry revenue growth of 2.3% annually from 2024 through 2029.</w:t>
      </w:r>
    </w:p>
    <w:p w14:paraId="4F2B4506" w14:textId="77777777" w:rsidR="00D43F43" w:rsidRDefault="008B0074">
      <w:r>
        <w:t>Vertical IQ's 2025 profile similarly describes an industry dominated by smaller operators. It reports that 89% of electrical contractor establishments have fewer than 20 employees, while the average contractor has about 14 employees and approximately $3.1 million in annual revenue.</w:t>
      </w:r>
    </w:p>
    <w:tbl>
      <w:tblPr>
        <w:tblStyle w:val="TableGrid"/>
        <w:tblW w:w="0" w:type="auto"/>
        <w:jc w:val="center"/>
        <w:tblLook w:val="04A0" w:firstRow="1" w:lastRow="0" w:firstColumn="1" w:lastColumn="0" w:noHBand="0" w:noVBand="1"/>
      </w:tblPr>
      <w:tblGrid>
        <w:gridCol w:w="5078"/>
        <w:gridCol w:w="5078"/>
      </w:tblGrid>
      <w:tr w:rsidR="00D43F43" w14:paraId="5D2F973F" w14:textId="77777777">
        <w:trPr>
          <w:jc w:val="center"/>
        </w:trPr>
        <w:tc>
          <w:tcPr>
            <w:tcW w:w="5083" w:type="dxa"/>
            <w:shd w:val="clear" w:color="auto" w:fill="1F2F2A"/>
            <w:vAlign w:val="center"/>
          </w:tcPr>
          <w:p w14:paraId="4A03E3E6" w14:textId="77777777" w:rsidR="00D43F43" w:rsidRDefault="008B0074">
            <w:r>
              <w:rPr>
                <w:b/>
                <w:color w:val="FFFFFF"/>
              </w:rPr>
              <w:t>Industry Snapshot</w:t>
            </w:r>
          </w:p>
        </w:tc>
        <w:tc>
          <w:tcPr>
            <w:tcW w:w="5083" w:type="dxa"/>
            <w:shd w:val="clear" w:color="auto" w:fill="1F2F2A"/>
            <w:vAlign w:val="center"/>
          </w:tcPr>
          <w:p w14:paraId="124ADDE7" w14:textId="77777777" w:rsidR="00D43F43" w:rsidRDefault="008B0074">
            <w:pPr>
              <w:jc w:val="right"/>
            </w:pPr>
            <w:r>
              <w:rPr>
                <w:b/>
                <w:color w:val="FFFFFF"/>
              </w:rPr>
              <w:t>Latest Source Figure</w:t>
            </w:r>
          </w:p>
        </w:tc>
      </w:tr>
      <w:tr w:rsidR="00D43F43" w14:paraId="4B73FF0E" w14:textId="77777777">
        <w:trPr>
          <w:jc w:val="center"/>
        </w:trPr>
        <w:tc>
          <w:tcPr>
            <w:tcW w:w="5083" w:type="dxa"/>
            <w:vAlign w:val="center"/>
          </w:tcPr>
          <w:p w14:paraId="05CA2BCC" w14:textId="77777777" w:rsidR="00D43F43" w:rsidRDefault="008B0074">
            <w:r>
              <w:rPr>
                <w:sz w:val="18"/>
              </w:rPr>
              <w:t>U.S. electrician-industry revenue</w:t>
            </w:r>
          </w:p>
        </w:tc>
        <w:tc>
          <w:tcPr>
            <w:tcW w:w="5083" w:type="dxa"/>
            <w:vAlign w:val="center"/>
          </w:tcPr>
          <w:p w14:paraId="37FEF7C4" w14:textId="77777777" w:rsidR="00D43F43" w:rsidRDefault="008B0074">
            <w:pPr>
              <w:jc w:val="right"/>
            </w:pPr>
            <w:r>
              <w:rPr>
                <w:b/>
                <w:color w:val="123D52"/>
                <w:sz w:val="18"/>
              </w:rPr>
              <w:t>$255.4B (IBISWorld, 2024)</w:t>
            </w:r>
          </w:p>
        </w:tc>
      </w:tr>
      <w:tr w:rsidR="00D43F43" w14:paraId="73FCA59E" w14:textId="77777777">
        <w:trPr>
          <w:jc w:val="center"/>
        </w:trPr>
        <w:tc>
          <w:tcPr>
            <w:tcW w:w="5083" w:type="dxa"/>
            <w:vAlign w:val="center"/>
          </w:tcPr>
          <w:p w14:paraId="3C0CA8A8" w14:textId="77777777" w:rsidR="00D43F43" w:rsidRDefault="008B0074">
            <w:r>
              <w:rPr>
                <w:sz w:val="18"/>
              </w:rPr>
              <w:t>U.S. businesses</w:t>
            </w:r>
          </w:p>
        </w:tc>
        <w:tc>
          <w:tcPr>
            <w:tcW w:w="5083" w:type="dxa"/>
            <w:vAlign w:val="center"/>
          </w:tcPr>
          <w:p w14:paraId="4CAF1670" w14:textId="77777777" w:rsidR="00D43F43" w:rsidRDefault="008B0074">
            <w:pPr>
              <w:jc w:val="right"/>
            </w:pPr>
            <w:r>
              <w:rPr>
                <w:b/>
                <w:color w:val="123D52"/>
                <w:sz w:val="18"/>
              </w:rPr>
              <w:t>242,000 (IBISWorld, 2024)</w:t>
            </w:r>
          </w:p>
        </w:tc>
      </w:tr>
      <w:tr w:rsidR="00D43F43" w14:paraId="7B15E3C3" w14:textId="77777777">
        <w:trPr>
          <w:jc w:val="center"/>
        </w:trPr>
        <w:tc>
          <w:tcPr>
            <w:tcW w:w="5083" w:type="dxa"/>
            <w:vAlign w:val="center"/>
          </w:tcPr>
          <w:p w14:paraId="3E6AA3EC" w14:textId="77777777" w:rsidR="00D43F43" w:rsidRDefault="008B0074">
            <w:r>
              <w:rPr>
                <w:sz w:val="18"/>
              </w:rPr>
              <w:t>Industry profit margin</w:t>
            </w:r>
          </w:p>
        </w:tc>
        <w:tc>
          <w:tcPr>
            <w:tcW w:w="5083" w:type="dxa"/>
            <w:vAlign w:val="center"/>
          </w:tcPr>
          <w:p w14:paraId="1C1F6296" w14:textId="77777777" w:rsidR="00D43F43" w:rsidRDefault="008B0074">
            <w:pPr>
              <w:jc w:val="right"/>
            </w:pPr>
            <w:r>
              <w:rPr>
                <w:b/>
                <w:color w:val="123D52"/>
                <w:sz w:val="18"/>
              </w:rPr>
              <w:t>5.4% (IBISWorld, 2024)</w:t>
            </w:r>
          </w:p>
        </w:tc>
      </w:tr>
      <w:tr w:rsidR="00D43F43" w14:paraId="7AD6FE8A" w14:textId="77777777">
        <w:trPr>
          <w:jc w:val="center"/>
        </w:trPr>
        <w:tc>
          <w:tcPr>
            <w:tcW w:w="5083" w:type="dxa"/>
            <w:vAlign w:val="center"/>
          </w:tcPr>
          <w:p w14:paraId="11CFB6CA" w14:textId="77777777" w:rsidR="00D43F43" w:rsidRDefault="008B0074">
            <w:r>
              <w:rPr>
                <w:sz w:val="18"/>
              </w:rPr>
              <w:t>Average contractor revenue</w:t>
            </w:r>
          </w:p>
        </w:tc>
        <w:tc>
          <w:tcPr>
            <w:tcW w:w="5083" w:type="dxa"/>
            <w:vAlign w:val="center"/>
          </w:tcPr>
          <w:p w14:paraId="68A41C1A" w14:textId="77777777" w:rsidR="00D43F43" w:rsidRDefault="008B0074">
            <w:pPr>
              <w:jc w:val="right"/>
            </w:pPr>
            <w:r>
              <w:rPr>
                <w:b/>
                <w:color w:val="123D52"/>
                <w:sz w:val="18"/>
              </w:rPr>
              <w:t>$3.1M (Vertical IQ, 2025)</w:t>
            </w:r>
          </w:p>
        </w:tc>
      </w:tr>
      <w:tr w:rsidR="00D43F43" w14:paraId="4CFB4002" w14:textId="77777777">
        <w:trPr>
          <w:jc w:val="center"/>
        </w:trPr>
        <w:tc>
          <w:tcPr>
            <w:tcW w:w="5083" w:type="dxa"/>
            <w:vAlign w:val="center"/>
          </w:tcPr>
          <w:p w14:paraId="24EFDFF5" w14:textId="77777777" w:rsidR="00D43F43" w:rsidRDefault="008B0074">
            <w:r>
              <w:rPr>
                <w:sz w:val="18"/>
              </w:rPr>
              <w:t>Establishments with fewer than 20 employees</w:t>
            </w:r>
          </w:p>
        </w:tc>
        <w:tc>
          <w:tcPr>
            <w:tcW w:w="5083" w:type="dxa"/>
            <w:vAlign w:val="center"/>
          </w:tcPr>
          <w:p w14:paraId="216F7C2B" w14:textId="77777777" w:rsidR="00D43F43" w:rsidRDefault="008B0074">
            <w:pPr>
              <w:jc w:val="right"/>
            </w:pPr>
            <w:r>
              <w:rPr>
                <w:b/>
                <w:color w:val="123D52"/>
                <w:sz w:val="18"/>
              </w:rPr>
              <w:t>89% (Vertical IQ, 2025)</w:t>
            </w:r>
          </w:p>
        </w:tc>
      </w:tr>
      <w:tr w:rsidR="00D43F43" w14:paraId="495E1170" w14:textId="77777777">
        <w:trPr>
          <w:jc w:val="center"/>
        </w:trPr>
        <w:tc>
          <w:tcPr>
            <w:tcW w:w="5083" w:type="dxa"/>
            <w:vAlign w:val="center"/>
          </w:tcPr>
          <w:p w14:paraId="5DD36404" w14:textId="77777777" w:rsidR="00D43F43" w:rsidRDefault="008B0074">
            <w:r>
              <w:rPr>
                <w:sz w:val="18"/>
              </w:rPr>
              <w:t>Florida electrical contractor establishments</w:t>
            </w:r>
          </w:p>
        </w:tc>
        <w:tc>
          <w:tcPr>
            <w:tcW w:w="5083" w:type="dxa"/>
            <w:vAlign w:val="center"/>
          </w:tcPr>
          <w:p w14:paraId="11B0DEBF" w14:textId="77777777" w:rsidR="00D43F43" w:rsidRDefault="008B0074">
            <w:pPr>
              <w:jc w:val="right"/>
            </w:pPr>
            <w:r>
              <w:rPr>
                <w:b/>
                <w:color w:val="123D52"/>
                <w:sz w:val="18"/>
              </w:rPr>
              <w:t>8,023 (Vertical IQ, 2024 data)</w:t>
            </w:r>
          </w:p>
        </w:tc>
      </w:tr>
    </w:tbl>
    <w:p w14:paraId="38CFDD8A" w14:textId="77777777" w:rsidR="00D43F43" w:rsidRDefault="008B0074">
      <w:r>
        <w:t>That fragmentation matters to an owner. A buyer is rarely comparing an established Florida contractor only to national public companies. The more relevant comparison is often other privately held local and regional contractors competing for the same customers, electricians and project opportunities.</w:t>
      </w:r>
    </w:p>
    <w:p w14:paraId="1972C789" w14:textId="77777777" w:rsidR="00D43F43" w:rsidRDefault="008B0074">
      <w:pPr>
        <w:pStyle w:val="Heading1"/>
      </w:pPr>
      <w:r>
        <w:t>3. Florida Remains an Important Electrical Contractor Market</w:t>
      </w:r>
    </w:p>
    <w:p w14:paraId="635D826C" w14:textId="77777777" w:rsidR="00D43F43" w:rsidRDefault="008B0074">
      <w:r>
        <w:t>Vertical IQ's geographic data identified 8,023 Florida electrical contractor establishments, representing roughly 8.0% of U.S. establishments in the period measured. Florida establishments increased 3.4% year over year in that dataset.</w:t>
      </w:r>
    </w:p>
    <w:p w14:paraId="15615728" w14:textId="77777777" w:rsidR="00D43F43" w:rsidRDefault="008B0074">
      <w:r>
        <w:t>For Florida contractors, the addressable market is broad. Demand can come from single-family construction, offices, education, healthcare, manufacturing, retail, warehouses, multifamily properties, infrastructure and direct service work. The business mix matters because each segment carries different project cycles, margins, payment timing and customer-concentration risks.</w:t>
      </w:r>
    </w:p>
    <w:p w14:paraId="52595EEA" w14:textId="77777777" w:rsidR="00D43F43" w:rsidRDefault="008B0074">
      <w:pPr>
        <w:pStyle w:val="Heading1"/>
      </w:pPr>
      <w:r>
        <w:t>4. Current Market Conditions: More Than New Construction</w:t>
      </w:r>
    </w:p>
    <w:p w14:paraId="499B187D" w14:textId="77777777" w:rsidR="00D43F43" w:rsidRDefault="008B0074">
      <w:r>
        <w:t>Electrical contracting remains tied to construction activity, but the opportunity set is broader than new construction alone. IBISWorld notes that approximately one-third of industry revenue comes from electrical upgrades, while Vertical IQ highlights value-added work such as data-center installation, design work, LED lighting, renewable-energy projects, building systems and electric-vehicle charging infrastructure.</w:t>
      </w:r>
    </w:p>
    <w:p w14:paraId="5E075950" w14:textId="77777777" w:rsidR="00D43F43" w:rsidRDefault="008B0074">
      <w:r>
        <w:t>The latest industry sources also show a mixed construction environment rather than a single direction. Residential construction has been constrained by affordability and interest rates, while portions of nonresidential work have remained active. For owners, this puts more weight on revenue mix, backlog quality and the ability to win work across multiple end markets.</w:t>
      </w:r>
    </w:p>
    <w:p w14:paraId="5AFA2D19" w14:textId="77777777" w:rsidR="00D43F43" w:rsidRDefault="008B0074">
      <w:pPr>
        <w:pStyle w:val="Heading2"/>
      </w:pPr>
      <w:r>
        <w:t>Service, repair and maintenance can change the quality of revenue</w:t>
      </w:r>
    </w:p>
    <w:p w14:paraId="4AA10C85" w14:textId="77777777" w:rsidR="00D43F43" w:rsidRDefault="008B0074">
      <w:r>
        <w:t>A contractor with a meaningful service, maintenance or repair component can look different from a contractor that must replace its entire backlog every year. Long-term maintenance contracts can create a more consistent revenue base, deepen customer relationships and reduce dependence on a handful of new construction wins.</w:t>
      </w:r>
    </w:p>
    <w:tbl>
      <w:tblPr>
        <w:tblW w:w="0" w:type="auto"/>
        <w:jc w:val="center"/>
        <w:tblLook w:val="04A0" w:firstRow="1" w:lastRow="0" w:firstColumn="1" w:lastColumn="0" w:noHBand="0" w:noVBand="1"/>
      </w:tblPr>
      <w:tblGrid>
        <w:gridCol w:w="10166"/>
      </w:tblGrid>
      <w:tr w:rsidR="00D43F43" w14:paraId="10A98D32" w14:textId="77777777">
        <w:trPr>
          <w:jc w:val="center"/>
        </w:trPr>
        <w:tc>
          <w:tcPr>
            <w:tcW w:w="10166" w:type="dxa"/>
            <w:shd w:val="clear" w:color="auto" w:fill="EEF3F4"/>
          </w:tcPr>
          <w:p w14:paraId="1F6A2E7F" w14:textId="77777777" w:rsidR="00D43F43" w:rsidRDefault="008B0074">
            <w:r>
              <w:rPr>
                <w:b/>
                <w:color w:val="123D52"/>
                <w:sz w:val="23"/>
              </w:rPr>
              <w:t>A useful owner question</w:t>
            </w:r>
          </w:p>
          <w:p w14:paraId="4786925B" w14:textId="77777777" w:rsidR="00D43F43" w:rsidRDefault="008B0074">
            <w:r>
              <w:rPr>
                <w:color w:val="243238"/>
              </w:rPr>
              <w:t xml:space="preserve">How much of next year's revenue is likely to come from customers who already know and trust the company, versus </w:t>
            </w:r>
            <w:r>
              <w:rPr>
                <w:color w:val="243238"/>
              </w:rPr>
              <w:lastRenderedPageBreak/>
              <w:t>work that has to be won from scratch?</w:t>
            </w:r>
          </w:p>
        </w:tc>
      </w:tr>
    </w:tbl>
    <w:p w14:paraId="539A6C5D" w14:textId="77777777" w:rsidR="00D43F43" w:rsidRDefault="00D43F43"/>
    <w:p w14:paraId="663C0446" w14:textId="77777777" w:rsidR="00D43F43" w:rsidRDefault="008B0074">
      <w:pPr>
        <w:pStyle w:val="Heading1"/>
      </w:pPr>
      <w:r>
        <w:t>5. What Buyers Pay Attention to in an Electrical Contractor</w:t>
      </w:r>
    </w:p>
    <w:p w14:paraId="277CDF20" w14:textId="77777777" w:rsidR="00D43F43" w:rsidRDefault="008B0074">
      <w:pPr>
        <w:pStyle w:val="Heading2"/>
      </w:pPr>
      <w:r>
        <w:t>Revenue mix</w:t>
      </w:r>
    </w:p>
    <w:p w14:paraId="7C88A577" w14:textId="77777777" w:rsidR="00D43F43" w:rsidRDefault="008B0074">
      <w:r>
        <w:t>Buyers want to understand how much revenue comes from new construction, service and repair, maintenance, retrofit and upgrades, commercial work, residential work, industrial work, low-voltage or specialty systems. A diversified mix can reduce exposure to any one project cycle.</w:t>
      </w:r>
    </w:p>
    <w:p w14:paraId="2140B414" w14:textId="77777777" w:rsidR="00D43F43" w:rsidRDefault="008B0074">
      <w:pPr>
        <w:pStyle w:val="Heading2"/>
      </w:pPr>
      <w:r>
        <w:t>Customer concentration</w:t>
      </w:r>
    </w:p>
    <w:p w14:paraId="4A4921D5" w14:textId="77777777" w:rsidR="00D43F43" w:rsidRDefault="008B0074">
      <w:r>
        <w:t>A highly profitable contractor can still carry meaningful risk if one or two general contractors, developers or institutional customers represent a large percentage of annual revenue. Buyers will examine both concentration and the durability of those relationships.</w:t>
      </w:r>
    </w:p>
    <w:p w14:paraId="72A3B58D" w14:textId="77777777" w:rsidR="00D43F43" w:rsidRDefault="008B0074">
      <w:pPr>
        <w:pStyle w:val="Heading2"/>
      </w:pPr>
      <w:r>
        <w:t>Backlog quality</w:t>
      </w:r>
    </w:p>
    <w:p w14:paraId="0D78E5E0" w14:textId="77777777" w:rsidR="00D43F43" w:rsidRDefault="008B0074">
      <w:r>
        <w:t>Backlog is not simply a sales number. Buyers care about expected gross margin, project timing, customer quality, labor availability, change-order exposure and how much of the backlog is truly committed.</w:t>
      </w:r>
    </w:p>
    <w:p w14:paraId="72177B65" w14:textId="77777777" w:rsidR="00D43F43" w:rsidRDefault="008B0074">
      <w:pPr>
        <w:pStyle w:val="Heading2"/>
      </w:pPr>
      <w:r>
        <w:t>Estimating and job costing</w:t>
      </w:r>
    </w:p>
    <w:p w14:paraId="09E5B44D" w14:textId="77777777" w:rsidR="00D43F43" w:rsidRDefault="008B0074">
      <w:r>
        <w:t>Accurate estimating is one of the industry's core profit drivers. A company that can explain estimated versus actual labor and material performance by job generally gives a buyer more confidence than one where profitability is understood only after the year is over.</w:t>
      </w:r>
    </w:p>
    <w:p w14:paraId="4C42A2F2" w14:textId="77777777" w:rsidR="00D43F43" w:rsidRDefault="008B0074">
      <w:pPr>
        <w:pStyle w:val="Heading2"/>
      </w:pPr>
      <w:r>
        <w:t>Licensed personnel and key employees</w:t>
      </w:r>
    </w:p>
    <w:p w14:paraId="337207DD" w14:textId="77777777" w:rsidR="00D43F43" w:rsidRDefault="008B0074">
      <w:r>
        <w:t>A buyer will want to know who holds required licenses, who can supervise work, who estimates, who manages projects and which employees have the experience to carry customer relationships forward after a transition.</w:t>
      </w:r>
    </w:p>
    <w:p w14:paraId="38A47CFB" w14:textId="77777777" w:rsidR="00D43F43" w:rsidRDefault="008B0074">
      <w:pPr>
        <w:pStyle w:val="Heading2"/>
      </w:pPr>
      <w:r>
        <w:t>Owner dependence</w:t>
      </w:r>
    </w:p>
    <w:p w14:paraId="195B7EE7" w14:textId="77777777" w:rsidR="00D43F43" w:rsidRDefault="008B0074">
      <w:r>
        <w:t>Many owner-operated contractors rely on the owner for sales, estimating, project management, hiring, customer relationships and problem solving. The more of those responsibilities that can operate without the owner, the more transferable the company usually appears.</w:t>
      </w:r>
    </w:p>
    <w:p w14:paraId="662035F6" w14:textId="77777777" w:rsidR="00D43F43" w:rsidRDefault="008B0074">
      <w:pPr>
        <w:pStyle w:val="Heading2"/>
      </w:pPr>
      <w:r>
        <w:t>Repeat and recurring work</w:t>
      </w:r>
    </w:p>
    <w:p w14:paraId="7CC31A98" w14:textId="77777777" w:rsidR="00D43F43" w:rsidRDefault="008B0074">
      <w:r>
        <w:t>Repeat service, maintenance agreements, long-standing GC relationships and institutional accounts can provide visibility even when there is no formal subscription-style revenue.</w:t>
      </w:r>
    </w:p>
    <w:p w14:paraId="63E03F90" w14:textId="77777777" w:rsidR="00D43F43" w:rsidRDefault="008B0074">
      <w:pPr>
        <w:pStyle w:val="Heading2"/>
      </w:pPr>
      <w:r>
        <w:t>Financial visibility</w:t>
      </w:r>
    </w:p>
    <w:p w14:paraId="2CF36B61" w14:textId="77777777" w:rsidR="00D43F43" w:rsidRDefault="008B0074">
      <w:r>
        <w:t>Clean statements, clear owner add-backs, understandable working-capital needs, consistent job costing and reliable customer-level reporting can reduce buyer uncertainty and shorten diligence.</w:t>
      </w:r>
    </w:p>
    <w:p w14:paraId="116B2994" w14:textId="77777777" w:rsidR="00D43F43" w:rsidRDefault="008B0074">
      <w:pPr>
        <w:pStyle w:val="Heading1"/>
      </w:pPr>
      <w:r>
        <w:t>6. Workforce Has Become a Strategic Asset</w:t>
      </w:r>
    </w:p>
    <w:p w14:paraId="5726D53A" w14:textId="77777777" w:rsidR="00D43F43" w:rsidRDefault="008B0074">
      <w:r>
        <w:t>Both IBISWorld and Vertical IQ identify skilled-labor availability as a persistent industry constraint. Vertical IQ reported average nonsupervisory electrical-contractor wages of $39.91 per hour in June 2025, up 5.8% from a year earlier, with wage growth of 18.4% over the prior three years.</w:t>
      </w:r>
    </w:p>
    <w:p w14:paraId="07CEF055" w14:textId="77777777" w:rsidR="00D43F43" w:rsidRDefault="008B0074">
      <w:r>
        <w:t>For an owner, wage pressure can compress margins. For a buyer, however, a stable team of licensed electricians, foremen, estimators and project managers can be one of the most difficult parts of the business to recreate. That makes retention, training and management depth important not only operationally, but also in a future transition.</w:t>
      </w:r>
    </w:p>
    <w:p w14:paraId="28E6B3B0" w14:textId="77777777" w:rsidR="00D43F43" w:rsidRDefault="008B0074">
      <w:pPr>
        <w:pStyle w:val="Heading1"/>
      </w:pPr>
      <w:r>
        <w:lastRenderedPageBreak/>
        <w:t>7. Profitability Is Built Job by Job</w:t>
      </w:r>
    </w:p>
    <w:p w14:paraId="3588335E" w14:textId="77777777" w:rsidR="00D43F43" w:rsidRDefault="008B0074">
      <w:r>
        <w:t>Vertical IQ identifies strong backlog, accurate cost estimation and efficient project execution as three core profit drivers. The same source reports average gross margins around 31% of sales for electrical contractors and notes that metals such as copper can create material-cost volatility.</w:t>
      </w:r>
    </w:p>
    <w:p w14:paraId="45275B1D" w14:textId="77777777" w:rsidR="00D43F43" w:rsidRDefault="008B0074">
      <w:r>
        <w:t>It also reports average collection periods of approximately 66 to 74 days, which highlights an issue that many profitable contractors already understand: earnings and cash flow are not the same thing. Payment timing, retainage, inspections, project delays and 'pay when paid' provisions can create real working-capital pressure even in a healthy company.</w:t>
      </w:r>
    </w:p>
    <w:p w14:paraId="11DF49B2" w14:textId="77777777" w:rsidR="00D43F43" w:rsidRDefault="008B0074">
      <w:r>
        <w:t>From a buyer's perspective, a contractor that can demonstrate disciplined estimating, job-level margin control, manageable receivables and predictable cash conversion is easier to understand.</w:t>
      </w:r>
    </w:p>
    <w:p w14:paraId="3E1AE331" w14:textId="77777777" w:rsidR="00D43F43" w:rsidRDefault="00D43F43"/>
    <w:p w14:paraId="288AAB1D" w14:textId="77777777" w:rsidR="00D43F43" w:rsidRDefault="008B0074">
      <w:pPr>
        <w:pStyle w:val="Heading1"/>
      </w:pPr>
      <w:r>
        <w:t>8. What Can Reduce Value or Slow a Transaction</w:t>
      </w:r>
    </w:p>
    <w:p w14:paraId="6AD348FB" w14:textId="77777777" w:rsidR="00D43F43" w:rsidRDefault="008B0074">
      <w:pPr>
        <w:pStyle w:val="ListBullet"/>
      </w:pPr>
      <w:r>
        <w:t>The owner personally performs most estimating, sales and project management.</w:t>
      </w:r>
    </w:p>
    <w:p w14:paraId="46A3B008" w14:textId="77777777" w:rsidR="00D43F43" w:rsidRDefault="008B0074">
      <w:pPr>
        <w:pStyle w:val="ListBullet"/>
      </w:pPr>
      <w:r>
        <w:t>One or two customers represent an outsized share of annual revenue.</w:t>
      </w:r>
    </w:p>
    <w:p w14:paraId="10A4FDA6" w14:textId="77777777" w:rsidR="00D43F43" w:rsidRDefault="008B0074">
      <w:pPr>
        <w:pStyle w:val="ListBullet"/>
      </w:pPr>
      <w:r>
        <w:t>The qualifying license or critical technical credentials sit only with the owner.</w:t>
      </w:r>
    </w:p>
    <w:p w14:paraId="24A37B82" w14:textId="77777777" w:rsidR="00D43F43" w:rsidRDefault="008B0074">
      <w:pPr>
        <w:pStyle w:val="ListBullet"/>
      </w:pPr>
      <w:r>
        <w:t>Backlog is large but thinly margined, loosely committed or concentrated with one customer.</w:t>
      </w:r>
    </w:p>
    <w:p w14:paraId="2EC5F887" w14:textId="77777777" w:rsidR="00D43F43" w:rsidRDefault="008B0074">
      <w:pPr>
        <w:pStyle w:val="ListBullet"/>
      </w:pPr>
      <w:r>
        <w:t>Financial records do not clearly support normalized earnings.</w:t>
      </w:r>
    </w:p>
    <w:p w14:paraId="7BDC25C3" w14:textId="77777777" w:rsidR="00D43F43" w:rsidRDefault="008B0074">
      <w:pPr>
        <w:pStyle w:val="ListBullet"/>
      </w:pPr>
      <w:r>
        <w:t>Job costing is inconsistent or estimated-to-actual performance is not tracked.</w:t>
      </w:r>
    </w:p>
    <w:p w14:paraId="47A1980F" w14:textId="77777777" w:rsidR="00D43F43" w:rsidRDefault="008B0074">
      <w:pPr>
        <w:pStyle w:val="ListBullet"/>
      </w:pPr>
      <w:r>
        <w:t>Key electricians, foremen or project managers are difficult to retain or replace.</w:t>
      </w:r>
    </w:p>
    <w:p w14:paraId="1D5358C9" w14:textId="77777777" w:rsidR="00D43F43" w:rsidRDefault="008B0074">
      <w:pPr>
        <w:pStyle w:val="ListBullet"/>
      </w:pPr>
      <w:r>
        <w:t>Receivables are slow, disputed or heavily dependent on general-contractor payment timing.</w:t>
      </w:r>
    </w:p>
    <w:p w14:paraId="2181C8A0" w14:textId="77777777" w:rsidR="00D43F43" w:rsidRDefault="008B0074">
      <w:pPr>
        <w:pStyle w:val="ListBullet"/>
      </w:pPr>
      <w:r>
        <w:t>Fleet, tools or other operating assets require significant near-term replacement.</w:t>
      </w:r>
    </w:p>
    <w:p w14:paraId="0AFA5F0C" w14:textId="77777777" w:rsidR="00D43F43" w:rsidRDefault="008B0074">
      <w:pPr>
        <w:pStyle w:val="ListBullet"/>
      </w:pPr>
      <w:r>
        <w:t>Insurance, safety or regulatory issues create uncertainty for a buyer.</w:t>
      </w:r>
    </w:p>
    <w:p w14:paraId="421CF653" w14:textId="77777777" w:rsidR="00D43F43" w:rsidRDefault="008B0074">
      <w:r>
        <w:t>None of these issues automatically prevents a transaction. They create uncertainty. In a sale process, uncertainty typically shows up in price, structure, diligence, transition requirements or closing risk.</w:t>
      </w:r>
    </w:p>
    <w:p w14:paraId="6C229302" w14:textId="77777777" w:rsidR="00D43F43" w:rsidRDefault="008B0074">
      <w:pPr>
        <w:pStyle w:val="Heading1"/>
      </w:pPr>
      <w:r>
        <w:t>9. Why Two Similar Electrical Contractors Can Sell for Very Different Amounts</w:t>
      </w:r>
    </w:p>
    <w:p w14:paraId="056EB129" w14:textId="77777777" w:rsidR="00D43F43" w:rsidRDefault="008B0074">
      <w:r>
        <w:t>Consider two contractors with the same annual revenue and the same stated discretionary earnings.</w:t>
      </w:r>
    </w:p>
    <w:tbl>
      <w:tblPr>
        <w:tblStyle w:val="TableGrid"/>
        <w:tblW w:w="0" w:type="auto"/>
        <w:jc w:val="center"/>
        <w:tblLook w:val="04A0" w:firstRow="1" w:lastRow="0" w:firstColumn="1" w:lastColumn="0" w:noHBand="0" w:noVBand="1"/>
      </w:tblPr>
      <w:tblGrid>
        <w:gridCol w:w="3386"/>
        <w:gridCol w:w="3385"/>
        <w:gridCol w:w="3385"/>
      </w:tblGrid>
      <w:tr w:rsidR="00D43F43" w14:paraId="70338CC1" w14:textId="77777777">
        <w:trPr>
          <w:jc w:val="center"/>
        </w:trPr>
        <w:tc>
          <w:tcPr>
            <w:tcW w:w="3389" w:type="dxa"/>
            <w:shd w:val="clear" w:color="auto" w:fill="123D52"/>
            <w:vAlign w:val="center"/>
          </w:tcPr>
          <w:p w14:paraId="028F2812" w14:textId="77777777" w:rsidR="00D43F43" w:rsidRDefault="00D43F43">
            <w:pPr>
              <w:jc w:val="center"/>
            </w:pPr>
          </w:p>
        </w:tc>
        <w:tc>
          <w:tcPr>
            <w:tcW w:w="3389" w:type="dxa"/>
            <w:shd w:val="clear" w:color="auto" w:fill="123D52"/>
            <w:vAlign w:val="center"/>
          </w:tcPr>
          <w:p w14:paraId="4900FA87" w14:textId="77777777" w:rsidR="00D43F43" w:rsidRDefault="008B0074">
            <w:pPr>
              <w:jc w:val="center"/>
            </w:pPr>
            <w:r>
              <w:rPr>
                <w:b/>
                <w:color w:val="FFFFFF"/>
                <w:sz w:val="19"/>
              </w:rPr>
              <w:t>Company A</w:t>
            </w:r>
          </w:p>
        </w:tc>
        <w:tc>
          <w:tcPr>
            <w:tcW w:w="3389" w:type="dxa"/>
            <w:shd w:val="clear" w:color="auto" w:fill="123D52"/>
            <w:vAlign w:val="center"/>
          </w:tcPr>
          <w:p w14:paraId="4597EB88" w14:textId="77777777" w:rsidR="00D43F43" w:rsidRDefault="008B0074">
            <w:pPr>
              <w:jc w:val="center"/>
            </w:pPr>
            <w:r>
              <w:rPr>
                <w:b/>
                <w:color w:val="FFFFFF"/>
                <w:sz w:val="19"/>
              </w:rPr>
              <w:t>Company B</w:t>
            </w:r>
          </w:p>
        </w:tc>
      </w:tr>
      <w:tr w:rsidR="00D43F43" w14:paraId="0059FA7F" w14:textId="77777777">
        <w:trPr>
          <w:jc w:val="center"/>
        </w:trPr>
        <w:tc>
          <w:tcPr>
            <w:tcW w:w="3389" w:type="dxa"/>
            <w:vAlign w:val="center"/>
          </w:tcPr>
          <w:p w14:paraId="04ABCBD7" w14:textId="77777777" w:rsidR="00D43F43" w:rsidRDefault="008B0074">
            <w:r>
              <w:rPr>
                <w:b/>
                <w:color w:val="123D52"/>
                <w:sz w:val="18"/>
              </w:rPr>
              <w:t>Owner role</w:t>
            </w:r>
          </w:p>
        </w:tc>
        <w:tc>
          <w:tcPr>
            <w:tcW w:w="3389" w:type="dxa"/>
            <w:vAlign w:val="center"/>
          </w:tcPr>
          <w:p w14:paraId="4DB7B72B" w14:textId="77777777" w:rsidR="00D43F43" w:rsidRDefault="008B0074">
            <w:r>
              <w:rPr>
                <w:sz w:val="18"/>
              </w:rPr>
              <w:t>Owner estimates and manages major jobs</w:t>
            </w:r>
          </w:p>
        </w:tc>
        <w:tc>
          <w:tcPr>
            <w:tcW w:w="3389" w:type="dxa"/>
            <w:vAlign w:val="center"/>
          </w:tcPr>
          <w:p w14:paraId="1BFAD214" w14:textId="77777777" w:rsidR="00D43F43" w:rsidRDefault="008B0074">
            <w:r>
              <w:rPr>
                <w:sz w:val="18"/>
              </w:rPr>
              <w:t>Estimator and PM team in place</w:t>
            </w:r>
          </w:p>
        </w:tc>
      </w:tr>
      <w:tr w:rsidR="00D43F43" w14:paraId="208A09F8" w14:textId="77777777">
        <w:trPr>
          <w:jc w:val="center"/>
        </w:trPr>
        <w:tc>
          <w:tcPr>
            <w:tcW w:w="3389" w:type="dxa"/>
            <w:vAlign w:val="center"/>
          </w:tcPr>
          <w:p w14:paraId="16EB9A94" w14:textId="77777777" w:rsidR="00D43F43" w:rsidRDefault="008B0074">
            <w:r>
              <w:rPr>
                <w:b/>
                <w:color w:val="123D52"/>
                <w:sz w:val="18"/>
              </w:rPr>
              <w:t>Customers</w:t>
            </w:r>
          </w:p>
        </w:tc>
        <w:tc>
          <w:tcPr>
            <w:tcW w:w="3389" w:type="dxa"/>
            <w:vAlign w:val="center"/>
          </w:tcPr>
          <w:p w14:paraId="6795DB55" w14:textId="77777777" w:rsidR="00D43F43" w:rsidRDefault="008B0074">
            <w:r>
              <w:rPr>
                <w:sz w:val="18"/>
              </w:rPr>
              <w:t>Two GCs dominate revenue</w:t>
            </w:r>
          </w:p>
        </w:tc>
        <w:tc>
          <w:tcPr>
            <w:tcW w:w="3389" w:type="dxa"/>
            <w:vAlign w:val="center"/>
          </w:tcPr>
          <w:p w14:paraId="7B0C4398" w14:textId="77777777" w:rsidR="00D43F43" w:rsidRDefault="008B0074">
            <w:r>
              <w:rPr>
                <w:sz w:val="18"/>
              </w:rPr>
              <w:t>Diversified GC and direct accounts</w:t>
            </w:r>
          </w:p>
        </w:tc>
      </w:tr>
      <w:tr w:rsidR="00D43F43" w14:paraId="5BE78D8A" w14:textId="77777777">
        <w:trPr>
          <w:jc w:val="center"/>
        </w:trPr>
        <w:tc>
          <w:tcPr>
            <w:tcW w:w="3389" w:type="dxa"/>
            <w:vAlign w:val="center"/>
          </w:tcPr>
          <w:p w14:paraId="6AAD2A5C" w14:textId="77777777" w:rsidR="00D43F43" w:rsidRDefault="008B0074">
            <w:r>
              <w:rPr>
                <w:b/>
                <w:color w:val="123D52"/>
                <w:sz w:val="18"/>
              </w:rPr>
              <w:t>Revenue mix</w:t>
            </w:r>
          </w:p>
        </w:tc>
        <w:tc>
          <w:tcPr>
            <w:tcW w:w="3389" w:type="dxa"/>
            <w:vAlign w:val="center"/>
          </w:tcPr>
          <w:p w14:paraId="103EFF44" w14:textId="77777777" w:rsidR="00D43F43" w:rsidRDefault="008B0074">
            <w:r>
              <w:rPr>
                <w:sz w:val="18"/>
              </w:rPr>
              <w:t>Primarily new construction</w:t>
            </w:r>
          </w:p>
        </w:tc>
        <w:tc>
          <w:tcPr>
            <w:tcW w:w="3389" w:type="dxa"/>
            <w:vAlign w:val="center"/>
          </w:tcPr>
          <w:p w14:paraId="5BD38022" w14:textId="77777777" w:rsidR="00D43F43" w:rsidRDefault="008B0074">
            <w:r>
              <w:rPr>
                <w:sz w:val="18"/>
              </w:rPr>
              <w:t>Construction + service + maintenance</w:t>
            </w:r>
          </w:p>
        </w:tc>
      </w:tr>
      <w:tr w:rsidR="00D43F43" w14:paraId="312D5163" w14:textId="77777777">
        <w:trPr>
          <w:jc w:val="center"/>
        </w:trPr>
        <w:tc>
          <w:tcPr>
            <w:tcW w:w="3389" w:type="dxa"/>
            <w:vAlign w:val="center"/>
          </w:tcPr>
          <w:p w14:paraId="5D2DC444" w14:textId="77777777" w:rsidR="00D43F43" w:rsidRDefault="008B0074">
            <w:r>
              <w:rPr>
                <w:b/>
                <w:color w:val="123D52"/>
                <w:sz w:val="18"/>
              </w:rPr>
              <w:t>Backlog</w:t>
            </w:r>
          </w:p>
        </w:tc>
        <w:tc>
          <w:tcPr>
            <w:tcW w:w="3389" w:type="dxa"/>
            <w:vAlign w:val="center"/>
          </w:tcPr>
          <w:p w14:paraId="3FCF5C70" w14:textId="77777777" w:rsidR="00D43F43" w:rsidRDefault="008B0074">
            <w:r>
              <w:rPr>
                <w:sz w:val="18"/>
              </w:rPr>
              <w:t>Large but margin visibility is limited</w:t>
            </w:r>
          </w:p>
        </w:tc>
        <w:tc>
          <w:tcPr>
            <w:tcW w:w="3389" w:type="dxa"/>
            <w:vAlign w:val="center"/>
          </w:tcPr>
          <w:p w14:paraId="111A1892" w14:textId="77777777" w:rsidR="00D43F43" w:rsidRDefault="008B0074">
            <w:r>
              <w:rPr>
                <w:sz w:val="18"/>
              </w:rPr>
              <w:t>Margin-tested and well documented</w:t>
            </w:r>
          </w:p>
        </w:tc>
      </w:tr>
      <w:tr w:rsidR="00D43F43" w14:paraId="616F9172" w14:textId="77777777">
        <w:trPr>
          <w:jc w:val="center"/>
        </w:trPr>
        <w:tc>
          <w:tcPr>
            <w:tcW w:w="3389" w:type="dxa"/>
            <w:vAlign w:val="center"/>
          </w:tcPr>
          <w:p w14:paraId="32980D38" w14:textId="77777777" w:rsidR="00D43F43" w:rsidRDefault="008B0074">
            <w:r>
              <w:rPr>
                <w:b/>
                <w:color w:val="123D52"/>
                <w:sz w:val="18"/>
              </w:rPr>
              <w:t>Financials</w:t>
            </w:r>
          </w:p>
        </w:tc>
        <w:tc>
          <w:tcPr>
            <w:tcW w:w="3389" w:type="dxa"/>
            <w:vAlign w:val="center"/>
          </w:tcPr>
          <w:p w14:paraId="0E3FF769" w14:textId="77777777" w:rsidR="00D43F43" w:rsidRDefault="008B0074">
            <w:r>
              <w:rPr>
                <w:sz w:val="18"/>
              </w:rPr>
              <w:t>Tax-driven reporting</w:t>
            </w:r>
          </w:p>
        </w:tc>
        <w:tc>
          <w:tcPr>
            <w:tcW w:w="3389" w:type="dxa"/>
            <w:vAlign w:val="center"/>
          </w:tcPr>
          <w:p w14:paraId="4703375C" w14:textId="77777777" w:rsidR="00D43F43" w:rsidRDefault="008B0074">
            <w:r>
              <w:rPr>
                <w:sz w:val="18"/>
              </w:rPr>
              <w:t>Clean financials and job costing</w:t>
            </w:r>
          </w:p>
        </w:tc>
      </w:tr>
      <w:tr w:rsidR="00D43F43" w14:paraId="59919C5F" w14:textId="77777777">
        <w:trPr>
          <w:jc w:val="center"/>
        </w:trPr>
        <w:tc>
          <w:tcPr>
            <w:tcW w:w="3389" w:type="dxa"/>
            <w:vAlign w:val="center"/>
          </w:tcPr>
          <w:p w14:paraId="102BB821" w14:textId="77777777" w:rsidR="00D43F43" w:rsidRDefault="008B0074">
            <w:r>
              <w:rPr>
                <w:b/>
                <w:color w:val="123D52"/>
                <w:sz w:val="18"/>
              </w:rPr>
              <w:t>Workforce</w:t>
            </w:r>
          </w:p>
        </w:tc>
        <w:tc>
          <w:tcPr>
            <w:tcW w:w="3389" w:type="dxa"/>
            <w:vAlign w:val="center"/>
          </w:tcPr>
          <w:p w14:paraId="78438B2C" w14:textId="77777777" w:rsidR="00D43F43" w:rsidRDefault="008B0074">
            <w:r>
              <w:rPr>
                <w:sz w:val="18"/>
              </w:rPr>
              <w:t>Key knowledge concentrated in owner</w:t>
            </w:r>
          </w:p>
        </w:tc>
        <w:tc>
          <w:tcPr>
            <w:tcW w:w="3389" w:type="dxa"/>
            <w:vAlign w:val="center"/>
          </w:tcPr>
          <w:p w14:paraId="523F183C" w14:textId="77777777" w:rsidR="00D43F43" w:rsidRDefault="008B0074">
            <w:r>
              <w:rPr>
                <w:sz w:val="18"/>
              </w:rPr>
              <w:t>Supervisors and licensed talent remain</w:t>
            </w:r>
          </w:p>
        </w:tc>
      </w:tr>
    </w:tbl>
    <w:p w14:paraId="4228DBE7" w14:textId="77777777" w:rsidR="00D43F43" w:rsidRDefault="008B0074">
      <w:r>
        <w:t>The financial statements may initially look similar, but Company B presents less transfer risk. That difference can affect buyer depth, deal certainty and valuation.</w:t>
      </w:r>
    </w:p>
    <w:p w14:paraId="3488FC45" w14:textId="77777777" w:rsidR="00D43F43" w:rsidRDefault="008B0074">
      <w:pPr>
        <w:pStyle w:val="Heading1"/>
      </w:pPr>
      <w:r>
        <w:lastRenderedPageBreak/>
        <w:t>10. How to Read the Multiples</w:t>
      </w:r>
    </w:p>
    <w:p w14:paraId="0642A442" w14:textId="77777777" w:rsidR="00D43F43" w:rsidRDefault="008B0074">
      <w:r>
        <w:t>The Florida transaction data averaged 0.594x revenue and 2.57x discretionary earnings. A separate national DealStats dataset summarized by Vertical IQ included 367 electrical-contractor transactions and showed a median price-to-sales multiple of 0.47x. For price to seller's discretionary earnings, 260 transactions showed a 2.43x median.</w:t>
      </w:r>
    </w:p>
    <w:p w14:paraId="45A42C80" w14:textId="77777777" w:rsidR="00D43F43" w:rsidRDefault="008B0074">
      <w:r>
        <w:t>The broad consistency between the Florida and national datasets is useful, but it should not be interpreted as a fixed formula. Multiples are an output of business quality, risk, size, customer mix, management depth, growth, earnings consistency and market conditions.</w:t>
      </w:r>
    </w:p>
    <w:tbl>
      <w:tblPr>
        <w:tblW w:w="0" w:type="auto"/>
        <w:jc w:val="center"/>
        <w:tblLook w:val="04A0" w:firstRow="1" w:lastRow="0" w:firstColumn="1" w:lastColumn="0" w:noHBand="0" w:noVBand="1"/>
      </w:tblPr>
      <w:tblGrid>
        <w:gridCol w:w="10166"/>
      </w:tblGrid>
      <w:tr w:rsidR="00D43F43" w14:paraId="631D17B4" w14:textId="77777777">
        <w:trPr>
          <w:jc w:val="center"/>
        </w:trPr>
        <w:tc>
          <w:tcPr>
            <w:tcW w:w="10166" w:type="dxa"/>
            <w:shd w:val="clear" w:color="auto" w:fill="EEF3F4"/>
          </w:tcPr>
          <w:p w14:paraId="464C1100" w14:textId="77777777" w:rsidR="00D43F43" w:rsidRDefault="008B0074">
            <w:r>
              <w:rPr>
                <w:b/>
                <w:color w:val="123D52"/>
                <w:sz w:val="23"/>
              </w:rPr>
              <w:t>The practical takeaway</w:t>
            </w:r>
          </w:p>
          <w:p w14:paraId="6F35196B" w14:textId="77777777" w:rsidR="00D43F43" w:rsidRDefault="008B0074">
            <w:r>
              <w:rPr>
                <w:color w:val="243238"/>
              </w:rPr>
              <w:t>Start with the business, not the multiple. Improve transferability, reduce concentration, strengthen management, clean up reporting and protect margins. The multiple tends to follow the quality of the business.</w:t>
            </w:r>
          </w:p>
        </w:tc>
      </w:tr>
    </w:tbl>
    <w:p w14:paraId="6E233BB7" w14:textId="77777777" w:rsidR="00D43F43" w:rsidRDefault="00D43F43"/>
    <w:p w14:paraId="58B6C7D3" w14:textId="77777777" w:rsidR="00D43F43" w:rsidRDefault="008B0074">
      <w:pPr>
        <w:pStyle w:val="Heading1"/>
      </w:pPr>
      <w:r>
        <w:t>11. What an Owner Can Do Before a Sale Is Even on the Calendar</w:t>
      </w:r>
    </w:p>
    <w:p w14:paraId="771CDCAA" w14:textId="77777777" w:rsidR="00D43F43" w:rsidRDefault="008B0074">
      <w:r>
        <w:rPr>
          <w:b/>
          <w:color w:val="123D52"/>
        </w:rPr>
        <w:t xml:space="preserve">Know your revenue mix. </w:t>
      </w:r>
      <w:r>
        <w:t>Track revenue by service line, project type, customer and end market.</w:t>
      </w:r>
    </w:p>
    <w:p w14:paraId="294A5EFE" w14:textId="77777777" w:rsidR="00D43F43" w:rsidRDefault="008B0074">
      <w:r>
        <w:rPr>
          <w:b/>
          <w:color w:val="123D52"/>
        </w:rPr>
        <w:t xml:space="preserve">Know your concentration. </w:t>
      </w:r>
      <w:r>
        <w:t>Understand the percentage of revenue represented by the top 10 customers and the top 3 general contractors.</w:t>
      </w:r>
    </w:p>
    <w:p w14:paraId="252B0C38" w14:textId="77777777" w:rsidR="00D43F43" w:rsidRDefault="008B0074">
      <w:r>
        <w:rPr>
          <w:b/>
          <w:color w:val="123D52"/>
        </w:rPr>
        <w:t xml:space="preserve">Know your backlog. </w:t>
      </w:r>
      <w:r>
        <w:t>Track backlog by customer, expected start date, expected completion date and anticipated gross margin.</w:t>
      </w:r>
    </w:p>
    <w:p w14:paraId="7F8080EE" w14:textId="77777777" w:rsidR="00D43F43" w:rsidRDefault="008B0074">
      <w:r>
        <w:rPr>
          <w:b/>
          <w:color w:val="123D52"/>
        </w:rPr>
        <w:t xml:space="preserve">Institutionalize estimating. </w:t>
      </w:r>
      <w:r>
        <w:t>Build estimating knowledge into the company rather than leaving it entirely with the owner.</w:t>
      </w:r>
    </w:p>
    <w:p w14:paraId="7FDF1A53" w14:textId="77777777" w:rsidR="00D43F43" w:rsidRDefault="008B0074">
      <w:r>
        <w:rPr>
          <w:b/>
          <w:color w:val="123D52"/>
        </w:rPr>
        <w:t xml:space="preserve">Develop management depth. </w:t>
      </w:r>
      <w:r>
        <w:t>Create clear responsibility for field supervision, project management, estimating, scheduling and customer communication.</w:t>
      </w:r>
    </w:p>
    <w:p w14:paraId="2D01E9B3" w14:textId="77777777" w:rsidR="00D43F43" w:rsidRDefault="008B0074">
      <w:r>
        <w:rPr>
          <w:b/>
          <w:color w:val="123D52"/>
        </w:rPr>
        <w:t xml:space="preserve">Protect licenses and credentials. </w:t>
      </w:r>
      <w:r>
        <w:t>Understand which licenses, certifications and qualifying relationships are owner-dependent and create a transition plan.</w:t>
      </w:r>
    </w:p>
    <w:p w14:paraId="3D6F4222" w14:textId="77777777" w:rsidR="00D43F43" w:rsidRDefault="008B0074">
      <w:r>
        <w:rPr>
          <w:b/>
          <w:color w:val="123D52"/>
        </w:rPr>
        <w:t xml:space="preserve">Build repeat work. </w:t>
      </w:r>
      <w:r>
        <w:t>Where appropriate, expand service agreements, inspection programs, maintenance relationships and direct commercial accounts.</w:t>
      </w:r>
    </w:p>
    <w:p w14:paraId="7048DE7A" w14:textId="77777777" w:rsidR="00D43F43" w:rsidRDefault="008B0074">
      <w:r>
        <w:rPr>
          <w:b/>
          <w:color w:val="123D52"/>
        </w:rPr>
        <w:t xml:space="preserve">Improve job costing. </w:t>
      </w:r>
      <w:r>
        <w:t>Compare estimated labor and materials with actual results and use that information to improve future pricing.</w:t>
      </w:r>
    </w:p>
    <w:p w14:paraId="368BDD24" w14:textId="77777777" w:rsidR="00D43F43" w:rsidRDefault="008B0074">
      <w:r>
        <w:rPr>
          <w:b/>
          <w:color w:val="123D52"/>
        </w:rPr>
        <w:t xml:space="preserve">Clean up financial reporting. </w:t>
      </w:r>
      <w:r>
        <w:t>Make normalized earnings easy to understand and reduce unnecessary ambiguity in owner-related expenses.</w:t>
      </w:r>
    </w:p>
    <w:p w14:paraId="2EAF7A6E" w14:textId="77777777" w:rsidR="00D43F43" w:rsidRDefault="008B0074">
      <w:r>
        <w:rPr>
          <w:b/>
          <w:color w:val="123D52"/>
        </w:rPr>
        <w:t xml:space="preserve">Plan on time. </w:t>
      </w:r>
      <w:r>
        <w:t>A business that took years to build deserves more than a rushed exit. The Florida transaction set averaged 390 days on market.</w:t>
      </w:r>
    </w:p>
    <w:p w14:paraId="1CF8AB53" w14:textId="77777777" w:rsidR="00D43F43" w:rsidRDefault="008B0074">
      <w:pPr>
        <w:pStyle w:val="Heading1"/>
      </w:pPr>
      <w:r>
        <w:t>12. Questions Worth Asking Yourself</w:t>
      </w:r>
    </w:p>
    <w:p w14:paraId="0AD14F12" w14:textId="77777777" w:rsidR="00D43F43" w:rsidRDefault="008B0074">
      <w:pPr>
        <w:pStyle w:val="ListBullet"/>
      </w:pPr>
      <w:r>
        <w:t>If I stepped away for 60 days, which parts of the business would slow down or stop?</w:t>
      </w:r>
    </w:p>
    <w:p w14:paraId="1AD316B2" w14:textId="77777777" w:rsidR="00D43F43" w:rsidRDefault="008B0074">
      <w:pPr>
        <w:pStyle w:val="ListBullet"/>
      </w:pPr>
      <w:r>
        <w:t>How much of our revenue would likely return next year because of existing relationships?</w:t>
      </w:r>
    </w:p>
    <w:p w14:paraId="2F1A6423" w14:textId="77777777" w:rsidR="00D43F43" w:rsidRDefault="008B0074">
      <w:pPr>
        <w:pStyle w:val="ListBullet"/>
      </w:pPr>
      <w:r>
        <w:t>Could someone other than me explain our backlog, margins and estimating process to a buyer?</w:t>
      </w:r>
    </w:p>
    <w:p w14:paraId="22805268" w14:textId="77777777" w:rsidR="00D43F43" w:rsidRDefault="008B0074">
      <w:pPr>
        <w:pStyle w:val="ListBullet"/>
      </w:pPr>
      <w:r>
        <w:t>What percentage of revenue comes from our largest three customers?</w:t>
      </w:r>
    </w:p>
    <w:p w14:paraId="2FE62265" w14:textId="77777777" w:rsidR="00D43F43" w:rsidRDefault="008B0074">
      <w:pPr>
        <w:pStyle w:val="ListBullet"/>
      </w:pPr>
      <w:r>
        <w:t>Which employees or licenses are truly critical to continuity?</w:t>
      </w:r>
    </w:p>
    <w:p w14:paraId="2AC24287" w14:textId="77777777" w:rsidR="00D43F43" w:rsidRDefault="008B0074">
      <w:pPr>
        <w:pStyle w:val="ListBullet"/>
      </w:pPr>
      <w:r>
        <w:t>If I wanted the option to sell in three years, what would I wish I had started fixing today?</w:t>
      </w:r>
    </w:p>
    <w:p w14:paraId="797EF39B" w14:textId="77777777" w:rsidR="00D43F43" w:rsidRDefault="008B0074">
      <w:pPr>
        <w:pStyle w:val="Heading1"/>
      </w:pPr>
      <w:r>
        <w:lastRenderedPageBreak/>
        <w:t>Bottom Line</w:t>
      </w:r>
    </w:p>
    <w:p w14:paraId="165474DA" w14:textId="77777777" w:rsidR="00D43F43" w:rsidRDefault="008B0074">
      <w:r>
        <w:t>Electrical contracting remains an essential, fragmented and locally driven industry with durable demand across construction, upgrades, service, maintenance and specialized electrical systems.</w:t>
      </w:r>
    </w:p>
    <w:p w14:paraId="41138645" w14:textId="77777777" w:rsidR="00D43F43" w:rsidRDefault="008B0074">
      <w:r>
        <w:t>The Florida transaction data shows that buyers are actively acquiring electrical contractors, but the averages are only the beginning of the conversation. The business itself determines how the market responds.</w:t>
      </w:r>
    </w:p>
    <w:p w14:paraId="2512CBF3" w14:textId="77777777" w:rsidR="00D43F43" w:rsidRDefault="008B0074">
      <w:r>
        <w:rPr>
          <w:b/>
          <w:color w:val="123D52"/>
        </w:rPr>
        <w:t xml:space="preserve">A strong electrical contracting company gives its owner choices. </w:t>
      </w:r>
      <w:r>
        <w:t>Clean earnings, durable customer relationships, capable employees, disciplined estimating, quality backlog and less owner dependence can improve the business today while also making an eventual transition more controlled and more predictable.</w:t>
      </w:r>
    </w:p>
    <w:p w14:paraId="5D26FCAC" w14:textId="77777777" w:rsidR="00D43F43" w:rsidRDefault="008B0074">
      <w:pPr>
        <w:pStyle w:val="Heading1"/>
      </w:pPr>
      <w:r>
        <w:t>About Todd Topliff</w:t>
      </w:r>
    </w:p>
    <w:p w14:paraId="3BB832B1" w14:textId="77777777" w:rsidR="00D43F43" w:rsidRDefault="008B0074">
      <w:r>
        <w:t>Todd Topliff is a Business Broker and Transaction Advisor with Corporate Investment Business Brokers. He works with established owner-operated businesses throughout Florida, helping owners understand value, prepare for eventual transitions and navigate confidential business sales.</w:t>
      </w:r>
    </w:p>
    <w:p w14:paraId="247D92D5" w14:textId="77777777" w:rsidR="00D43F43" w:rsidRDefault="008B0074">
      <w:r>
        <w:rPr>
          <w:b/>
        </w:rPr>
        <w:t>Confidential conversations are always welcome.</w:t>
      </w:r>
    </w:p>
    <w:p w14:paraId="0076C9C1" w14:textId="77777777" w:rsidR="00D43F43" w:rsidRDefault="008B0074">
      <w:pPr>
        <w:pStyle w:val="Heading1"/>
        <w:pageBreakBefore/>
      </w:pPr>
      <w:r>
        <w:lastRenderedPageBreak/>
        <w:t>Sources &amp; Important Notes</w:t>
      </w:r>
    </w:p>
    <w:p w14:paraId="68269274" w14:textId="77777777" w:rsidR="00D43F43" w:rsidRDefault="008B0074">
      <w:pPr>
        <w:pStyle w:val="ListBullet"/>
      </w:pPr>
      <w:r>
        <w:t>Florida closed-transaction data supplied by Todd Topliff: 41 completed electrical contractor transactions and associated averages/ratios.</w:t>
      </w:r>
    </w:p>
    <w:p w14:paraId="2ACD65D4" w14:textId="77777777" w:rsidR="00D43F43" w:rsidRDefault="008B0074">
      <w:pPr>
        <w:pStyle w:val="ListBullet"/>
      </w:pPr>
      <w:r>
        <w:t>IBISWorld, Electricians in the US, November 2024, NAICS 23821 / 238210.</w:t>
      </w:r>
    </w:p>
    <w:p w14:paraId="24C8345C" w14:textId="77777777" w:rsidR="00D43F43" w:rsidRDefault="008B0074">
      <w:pPr>
        <w:pStyle w:val="ListBullet"/>
      </w:pPr>
      <w:r>
        <w:t>Vertical IQ, Electrical Contractors, prepared August 18, 2025, NAICS 238210.</w:t>
      </w:r>
    </w:p>
    <w:p w14:paraId="2F8D65B2" w14:textId="77777777" w:rsidR="00D43F43" w:rsidRDefault="008B0074">
      <w:pPr>
        <w:pStyle w:val="ListBullet"/>
      </w:pPr>
      <w:r>
        <w:t>Vertical IQ valuation summary citing DealStats electrical contractor transaction data through June 1, 2025.</w:t>
      </w:r>
    </w:p>
    <w:p w14:paraId="5E8320F3" w14:textId="77777777" w:rsidR="00D43F43" w:rsidRDefault="008B0074">
      <w:r>
        <w:rPr>
          <w:b/>
        </w:rPr>
        <w:t xml:space="preserve">Important: </w:t>
      </w:r>
      <w:r>
        <w:t>This market brief is general educational information. Transaction averages and industry benchmarks are not a valuation of any specific company and should not be applied mechanically. A company-specific analysis requires review of financial performance, revenue mix, customer concentration, backlog, workforce, owner involvement, assets, liabilities and other transaction-specific factors.</w:t>
      </w:r>
    </w:p>
    <w:sectPr w:rsidR="00D43F43"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33632" w14:textId="77777777" w:rsidR="008B0074" w:rsidRDefault="008B0074">
      <w:pPr>
        <w:spacing w:after="0" w:line="240" w:lineRule="auto"/>
      </w:pPr>
      <w:r>
        <w:separator/>
      </w:r>
    </w:p>
  </w:endnote>
  <w:endnote w:type="continuationSeparator" w:id="0">
    <w:p w14:paraId="63769257" w14:textId="77777777" w:rsidR="008B0074" w:rsidRDefault="008B0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E975" w14:textId="77777777" w:rsidR="00D43F43" w:rsidRDefault="008B0074">
    <w:pPr>
      <w:pStyle w:val="Footer"/>
      <w:jc w:val="center"/>
    </w:pPr>
    <w:r>
      <w:rPr>
        <w:color w:val="666666"/>
        <w:sz w:val="16"/>
      </w:rPr>
      <w:t>Florida Electrical Contractor Market Brief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AF64" w14:textId="77777777" w:rsidR="008B0074" w:rsidRDefault="008B0074">
      <w:pPr>
        <w:spacing w:after="0" w:line="240" w:lineRule="auto"/>
      </w:pPr>
      <w:r>
        <w:separator/>
      </w:r>
    </w:p>
  </w:footnote>
  <w:footnote w:type="continuationSeparator" w:id="0">
    <w:p w14:paraId="42CACCD4" w14:textId="77777777" w:rsidR="008B0074" w:rsidRDefault="008B0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44CA" w14:textId="77777777" w:rsidR="00D43F43" w:rsidRDefault="008B0074">
    <w:pPr>
      <w:pStyle w:val="Header"/>
      <w:jc w:val="right"/>
    </w:pPr>
    <w:r>
      <w:rPr>
        <w:color w:val="666666"/>
        <w:sz w:val="16"/>
      </w:rPr>
      <w:t xml:space="preserve">TODD </w:t>
    </w:r>
    <w:proofErr w:type="gramStart"/>
    <w:r>
      <w:rPr>
        <w:color w:val="666666"/>
        <w:sz w:val="16"/>
      </w:rPr>
      <w:t>TOPLIFF  |</w:t>
    </w:r>
    <w:proofErr w:type="gramEnd"/>
    <w:r>
      <w:rPr>
        <w:color w:val="666666"/>
        <w:sz w:val="16"/>
      </w:rPr>
      <w:t xml:space="preserve">  BUSINESS BROKER &amp; TRANSACTION ADVISOR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9739401">
    <w:abstractNumId w:val="8"/>
  </w:num>
  <w:num w:numId="2" w16cid:durableId="2127850085">
    <w:abstractNumId w:val="6"/>
  </w:num>
  <w:num w:numId="3" w16cid:durableId="2136485895">
    <w:abstractNumId w:val="5"/>
  </w:num>
  <w:num w:numId="4" w16cid:durableId="314072093">
    <w:abstractNumId w:val="4"/>
  </w:num>
  <w:num w:numId="5" w16cid:durableId="1072191034">
    <w:abstractNumId w:val="7"/>
  </w:num>
  <w:num w:numId="6" w16cid:durableId="1621760384">
    <w:abstractNumId w:val="3"/>
  </w:num>
  <w:num w:numId="7" w16cid:durableId="133840635">
    <w:abstractNumId w:val="2"/>
  </w:num>
  <w:num w:numId="8" w16cid:durableId="1116873866">
    <w:abstractNumId w:val="1"/>
  </w:num>
  <w:num w:numId="9" w16cid:durableId="368798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B0074"/>
    <w:rsid w:val="009D401B"/>
    <w:rsid w:val="00AA1D8D"/>
    <w:rsid w:val="00B47730"/>
    <w:rsid w:val="00BA33C6"/>
    <w:rsid w:val="00CB0664"/>
    <w:rsid w:val="00D43F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D0109C"/>
  <w14:defaultImageDpi w14:val="300"/>
  <w15:docId w15:val="{75129E3C-55F4-4B73-9E9C-A6AE369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23D5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2F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05C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23D52"/>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after="120"/>
    </w:pPr>
    <w:rPr>
      <w:rFonts w:ascii="Aptos" w:hAnsi="Aptos"/>
      <w:b/>
      <w:color w:val="123D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2490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Todd  Topliff</cp:lastModifiedBy>
  <cp:revision>2</cp:revision>
  <dcterms:created xsi:type="dcterms:W3CDTF">2026-08-13T12:09:00Z</dcterms:created>
  <dcterms:modified xsi:type="dcterms:W3CDTF">2026-08-13T12:09:00Z</dcterms:modified>
  <cp:category/>
</cp:coreProperties>
</file>