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27CCF" w14:textId="77777777" w:rsidR="00581660" w:rsidRDefault="00E25823">
      <w:pPr>
        <w:pStyle w:val="Title"/>
      </w:pPr>
      <w:r>
        <w:t>Florida HVAC Contractor</w:t>
      </w:r>
      <w:r>
        <w:br/>
        <w:t>Market Brief</w:t>
      </w:r>
    </w:p>
    <w:p w14:paraId="6A4ABC22" w14:textId="77777777" w:rsidR="00581660" w:rsidRDefault="00E25823">
      <w:r>
        <w:rPr>
          <w:b/>
          <w:color w:val="E05C2A"/>
          <w:sz w:val="27"/>
        </w:rPr>
        <w:t>Market Conditions, Buyer Trends &amp; Business Sale Benchmarks</w:t>
      </w:r>
    </w:p>
    <w:p w14:paraId="50204143" w14:textId="77777777" w:rsidR="00581660" w:rsidRDefault="00E25823">
      <w:r>
        <w:rPr>
          <w:b/>
          <w:color w:val="1F2F2A"/>
          <w:sz w:val="24"/>
        </w:rPr>
        <w:t>2026 Edition</w:t>
      </w:r>
    </w:p>
    <w:p w14:paraId="00748A2D" w14:textId="77777777" w:rsidR="00581660" w:rsidRDefault="00581660">
      <w:pPr>
        <w:pBdr>
          <w:bottom w:val="single" w:sz="18" w:space="1" w:color="A7CFCB"/>
        </w:pBdr>
        <w:spacing w:after="160"/>
      </w:pPr>
    </w:p>
    <w:tbl>
      <w:tblPr>
        <w:tblW w:w="0" w:type="auto"/>
        <w:jc w:val="center"/>
        <w:tblLook w:val="04A0" w:firstRow="1" w:lastRow="0" w:firstColumn="1" w:lastColumn="0" w:noHBand="0" w:noVBand="1"/>
      </w:tblPr>
      <w:tblGrid>
        <w:gridCol w:w="3388"/>
        <w:gridCol w:w="3389"/>
        <w:gridCol w:w="3389"/>
      </w:tblGrid>
      <w:tr w:rsidR="00581660" w14:paraId="75262A21" w14:textId="77777777">
        <w:trPr>
          <w:jc w:val="center"/>
        </w:trPr>
        <w:tc>
          <w:tcPr>
            <w:tcW w:w="3389" w:type="dxa"/>
            <w:shd w:val="clear" w:color="auto" w:fill="F7F3EA"/>
          </w:tcPr>
          <w:p w14:paraId="11E583DE" w14:textId="77777777" w:rsidR="00581660" w:rsidRDefault="00E25823">
            <w:pPr>
              <w:jc w:val="center"/>
            </w:pPr>
            <w:r>
              <w:rPr>
                <w:b/>
                <w:color w:val="123D52"/>
                <w:sz w:val="40"/>
              </w:rPr>
              <w:t>118</w:t>
            </w:r>
          </w:p>
          <w:p w14:paraId="2D0092E0" w14:textId="77777777" w:rsidR="00581660" w:rsidRDefault="00E25823">
            <w:pPr>
              <w:jc w:val="center"/>
            </w:pPr>
            <w:r>
              <w:rPr>
                <w:color w:val="666666"/>
                <w:sz w:val="17"/>
              </w:rPr>
              <w:t>Florida transactions analyzed</w:t>
            </w:r>
          </w:p>
        </w:tc>
        <w:tc>
          <w:tcPr>
            <w:tcW w:w="3389" w:type="dxa"/>
            <w:shd w:val="clear" w:color="auto" w:fill="F7F3EA"/>
          </w:tcPr>
          <w:p w14:paraId="0A0F5556" w14:textId="77777777" w:rsidR="00581660" w:rsidRDefault="00E25823">
            <w:pPr>
              <w:jc w:val="center"/>
            </w:pPr>
            <w:r>
              <w:rPr>
                <w:b/>
                <w:color w:val="123D52"/>
                <w:sz w:val="40"/>
              </w:rPr>
              <w:t>$1.48M</w:t>
            </w:r>
          </w:p>
          <w:p w14:paraId="094977AF" w14:textId="77777777" w:rsidR="00581660" w:rsidRDefault="00E25823">
            <w:pPr>
              <w:jc w:val="center"/>
            </w:pPr>
            <w:r>
              <w:rPr>
                <w:color w:val="666666"/>
                <w:sz w:val="17"/>
              </w:rPr>
              <w:t>Average sold price</w:t>
            </w:r>
          </w:p>
        </w:tc>
        <w:tc>
          <w:tcPr>
            <w:tcW w:w="3389" w:type="dxa"/>
            <w:shd w:val="clear" w:color="auto" w:fill="F7F3EA"/>
          </w:tcPr>
          <w:p w14:paraId="62812F94" w14:textId="77777777" w:rsidR="00581660" w:rsidRDefault="00E25823">
            <w:pPr>
              <w:jc w:val="center"/>
            </w:pPr>
            <w:r>
              <w:rPr>
                <w:b/>
                <w:color w:val="123D52"/>
                <w:sz w:val="40"/>
              </w:rPr>
              <w:t>3.18x</w:t>
            </w:r>
          </w:p>
          <w:p w14:paraId="110B2F67" w14:textId="77777777" w:rsidR="00581660" w:rsidRDefault="00E25823">
            <w:pPr>
              <w:jc w:val="center"/>
            </w:pPr>
            <w:r>
              <w:rPr>
                <w:color w:val="666666"/>
                <w:sz w:val="17"/>
              </w:rPr>
              <w:t>Average sold price / SDE</w:t>
            </w:r>
          </w:p>
        </w:tc>
      </w:tr>
    </w:tbl>
    <w:p w14:paraId="542B182B" w14:textId="77777777" w:rsidR="00581660" w:rsidRDefault="00581660"/>
    <w:p w14:paraId="144AFDEB" w14:textId="77777777" w:rsidR="00581660" w:rsidRDefault="00E25823">
      <w:r>
        <w:rPr>
          <w:b/>
          <w:sz w:val="24"/>
        </w:rPr>
        <w:t>Prepared by Todd Topliff</w:t>
      </w:r>
    </w:p>
    <w:p w14:paraId="1BFBE11D" w14:textId="77777777" w:rsidR="00581660" w:rsidRDefault="00E25823">
      <w:r>
        <w:t>Business Broker &amp; Transaction Advisor</w:t>
      </w:r>
      <w:r>
        <w:br/>
        <w:t>Corporate Investment Business Brokers</w:t>
      </w:r>
    </w:p>
    <w:p w14:paraId="28F7C69D" w14:textId="77777777" w:rsidR="00581660" w:rsidRDefault="00E25823">
      <w:r>
        <w:t>For established owner-operated HVAC businesses throughout Florida.</w:t>
      </w:r>
    </w:p>
    <w:p w14:paraId="448B4DE6" w14:textId="77777777" w:rsidR="00581660" w:rsidRDefault="00E25823">
      <w:r>
        <w:rPr>
          <w:b/>
        </w:rPr>
        <w:t xml:space="preserve">Source note: </w:t>
      </w:r>
      <w:r>
        <w:t>This brief combines 118 completed Florida HVAC contractor transactions supplied from Business Brokers of Florida market data with HVAC industry research from Vertical IQ (August 2025) and IBISWorld (October 2024).</w:t>
      </w:r>
    </w:p>
    <w:p w14:paraId="2F385ABB" w14:textId="77777777" w:rsidR="00581660" w:rsidRDefault="00E25823">
      <w:r>
        <w:br w:type="page"/>
      </w:r>
    </w:p>
    <w:p w14:paraId="1FFD7A2C" w14:textId="77777777" w:rsidR="00581660" w:rsidRDefault="00E25823">
      <w:pPr>
        <w:pStyle w:val="Heading1"/>
      </w:pPr>
      <w:r>
        <w:lastRenderedPageBreak/>
        <w:t>Why This Brief Matters</w:t>
      </w:r>
    </w:p>
    <w:p w14:paraId="5A44B357" w14:textId="77777777" w:rsidR="00581660" w:rsidRDefault="00E25823">
      <w:r>
        <w:t>Most HVAC owners are not waking up every morning thinking about selling their company. They are thinking about technicians, service calls, replacements, maintenance agreements, dispatch, customer reviews, equipment availability, margins and keeping good people.</w:t>
      </w:r>
    </w:p>
    <w:p w14:paraId="18A0E3C7" w14:textId="77777777" w:rsidR="00581660" w:rsidRDefault="00E25823">
      <w:r>
        <w:t>Those same operating realities are what eventually determine how a buyer views the business. Two HVAC companies with the same revenue and earnings can have very different value depending on how dependable those earnings are after the owner steps away.</w:t>
      </w:r>
    </w:p>
    <w:tbl>
      <w:tblPr>
        <w:tblW w:w="0" w:type="auto"/>
        <w:jc w:val="center"/>
        <w:tblLook w:val="04A0" w:firstRow="1" w:lastRow="0" w:firstColumn="1" w:lastColumn="0" w:noHBand="0" w:noVBand="1"/>
      </w:tblPr>
      <w:tblGrid>
        <w:gridCol w:w="10166"/>
      </w:tblGrid>
      <w:tr w:rsidR="00581660" w14:paraId="76E8FDC7" w14:textId="77777777">
        <w:trPr>
          <w:jc w:val="center"/>
        </w:trPr>
        <w:tc>
          <w:tcPr>
            <w:tcW w:w="10166" w:type="dxa"/>
            <w:shd w:val="clear" w:color="auto" w:fill="EEF3F4"/>
          </w:tcPr>
          <w:p w14:paraId="6F4F1498" w14:textId="77777777" w:rsidR="00581660" w:rsidRDefault="00E25823">
            <w:r>
              <w:rPr>
                <w:b/>
                <w:color w:val="123D52"/>
                <w:sz w:val="22"/>
              </w:rPr>
              <w:t>The owner's objective</w:t>
            </w:r>
          </w:p>
          <w:p w14:paraId="47D5FA1D" w14:textId="77777777" w:rsidR="00581660" w:rsidRDefault="00E25823">
            <w:r>
              <w:rPr>
                <w:color w:val="243238"/>
              </w:rPr>
              <w:t>You do not need to be ready to sell to benefit from understanding the market. The objective is clarity: know what buyers value, where risk sits in the company, and what can be improved now to create more options later.</w:t>
            </w:r>
          </w:p>
        </w:tc>
      </w:tr>
    </w:tbl>
    <w:p w14:paraId="635CB3ED" w14:textId="77777777" w:rsidR="00581660" w:rsidRDefault="00E25823">
      <w:pPr>
        <w:pStyle w:val="Heading1"/>
      </w:pPr>
      <w:r>
        <w:t>1. What Florida HVAC Contractors Have Actually Sold For</w:t>
      </w:r>
    </w:p>
    <w:p w14:paraId="766F7604" w14:textId="77777777" w:rsidR="00581660" w:rsidRDefault="00E25823">
      <w:r>
        <w:t>A review of 118 completed Florida HVAC contractor transactions provides a meaningful owner-operated market benchmark. These transactions include companies of different sizes, geographies, customer mixes and operating models, so the averages are evidence of the market, not a formula for any one company.</w:t>
      </w:r>
    </w:p>
    <w:tbl>
      <w:tblPr>
        <w:tblStyle w:val="TableGrid"/>
        <w:tblW w:w="0" w:type="auto"/>
        <w:jc w:val="center"/>
        <w:tblLook w:val="04A0" w:firstRow="1" w:lastRow="0" w:firstColumn="1" w:lastColumn="0" w:noHBand="0" w:noVBand="1"/>
      </w:tblPr>
      <w:tblGrid>
        <w:gridCol w:w="5078"/>
        <w:gridCol w:w="5078"/>
      </w:tblGrid>
      <w:tr w:rsidR="00581660" w14:paraId="0F02E243" w14:textId="77777777">
        <w:trPr>
          <w:jc w:val="center"/>
        </w:trPr>
        <w:tc>
          <w:tcPr>
            <w:tcW w:w="5083" w:type="dxa"/>
            <w:shd w:val="clear" w:color="auto" w:fill="123D52"/>
            <w:vAlign w:val="center"/>
          </w:tcPr>
          <w:p w14:paraId="2D0F7F60" w14:textId="77777777" w:rsidR="00581660" w:rsidRDefault="00E25823">
            <w:r>
              <w:rPr>
                <w:b/>
                <w:color w:val="FFFFFF"/>
              </w:rPr>
              <w:t>Florida Transaction Metric</w:t>
            </w:r>
          </w:p>
        </w:tc>
        <w:tc>
          <w:tcPr>
            <w:tcW w:w="5083" w:type="dxa"/>
            <w:shd w:val="clear" w:color="auto" w:fill="123D52"/>
            <w:vAlign w:val="center"/>
          </w:tcPr>
          <w:p w14:paraId="46964C88" w14:textId="77777777" w:rsidR="00581660" w:rsidRDefault="00E25823">
            <w:pPr>
              <w:jc w:val="right"/>
            </w:pPr>
            <w:r>
              <w:rPr>
                <w:b/>
                <w:color w:val="FFFFFF"/>
              </w:rPr>
              <w:t>Average</w:t>
            </w:r>
          </w:p>
        </w:tc>
      </w:tr>
      <w:tr w:rsidR="00581660" w14:paraId="1B23B5A4" w14:textId="77777777">
        <w:trPr>
          <w:jc w:val="center"/>
        </w:trPr>
        <w:tc>
          <w:tcPr>
            <w:tcW w:w="5083" w:type="dxa"/>
            <w:vAlign w:val="center"/>
          </w:tcPr>
          <w:p w14:paraId="7CAEEA8B" w14:textId="77777777" w:rsidR="00581660" w:rsidRDefault="00E25823">
            <w:r>
              <w:rPr>
                <w:sz w:val="18"/>
              </w:rPr>
              <w:t>Completed transactions</w:t>
            </w:r>
          </w:p>
        </w:tc>
        <w:tc>
          <w:tcPr>
            <w:tcW w:w="5083" w:type="dxa"/>
            <w:vAlign w:val="center"/>
          </w:tcPr>
          <w:p w14:paraId="5D68DE44" w14:textId="77777777" w:rsidR="00581660" w:rsidRDefault="00E25823">
            <w:pPr>
              <w:jc w:val="right"/>
            </w:pPr>
            <w:r>
              <w:rPr>
                <w:b/>
                <w:color w:val="123D52"/>
                <w:sz w:val="19"/>
              </w:rPr>
              <w:t>118</w:t>
            </w:r>
          </w:p>
        </w:tc>
      </w:tr>
      <w:tr w:rsidR="00581660" w14:paraId="26A2941B" w14:textId="77777777">
        <w:trPr>
          <w:jc w:val="center"/>
        </w:trPr>
        <w:tc>
          <w:tcPr>
            <w:tcW w:w="5083" w:type="dxa"/>
            <w:vAlign w:val="center"/>
          </w:tcPr>
          <w:p w14:paraId="43FC0D60" w14:textId="77777777" w:rsidR="00581660" w:rsidRDefault="00E25823">
            <w:r>
              <w:rPr>
                <w:sz w:val="18"/>
              </w:rPr>
              <w:t>Average annual sales</w:t>
            </w:r>
          </w:p>
        </w:tc>
        <w:tc>
          <w:tcPr>
            <w:tcW w:w="5083" w:type="dxa"/>
            <w:vAlign w:val="center"/>
          </w:tcPr>
          <w:p w14:paraId="3799E994" w14:textId="77777777" w:rsidR="00581660" w:rsidRDefault="00E25823">
            <w:pPr>
              <w:jc w:val="right"/>
            </w:pPr>
            <w:r>
              <w:rPr>
                <w:b/>
                <w:color w:val="123D52"/>
                <w:sz w:val="19"/>
              </w:rPr>
              <w:t>$2,086,065</w:t>
            </w:r>
          </w:p>
        </w:tc>
      </w:tr>
      <w:tr w:rsidR="00581660" w14:paraId="7F7A4052" w14:textId="77777777">
        <w:trPr>
          <w:jc w:val="center"/>
        </w:trPr>
        <w:tc>
          <w:tcPr>
            <w:tcW w:w="5083" w:type="dxa"/>
            <w:vAlign w:val="center"/>
          </w:tcPr>
          <w:p w14:paraId="46189245" w14:textId="77777777" w:rsidR="00581660" w:rsidRDefault="00E25823">
            <w:r>
              <w:rPr>
                <w:sz w:val="18"/>
              </w:rPr>
              <w:t>Average sold price</w:t>
            </w:r>
          </w:p>
        </w:tc>
        <w:tc>
          <w:tcPr>
            <w:tcW w:w="5083" w:type="dxa"/>
            <w:vAlign w:val="center"/>
          </w:tcPr>
          <w:p w14:paraId="37B03F54" w14:textId="77777777" w:rsidR="00581660" w:rsidRDefault="00E25823">
            <w:pPr>
              <w:jc w:val="right"/>
            </w:pPr>
            <w:r>
              <w:rPr>
                <w:b/>
                <w:color w:val="123D52"/>
                <w:sz w:val="19"/>
              </w:rPr>
              <w:t>$1,475,127</w:t>
            </w:r>
          </w:p>
        </w:tc>
      </w:tr>
      <w:tr w:rsidR="00581660" w14:paraId="16F960E1" w14:textId="77777777">
        <w:trPr>
          <w:jc w:val="center"/>
        </w:trPr>
        <w:tc>
          <w:tcPr>
            <w:tcW w:w="5083" w:type="dxa"/>
            <w:vAlign w:val="center"/>
          </w:tcPr>
          <w:p w14:paraId="10027C95" w14:textId="77777777" w:rsidR="00581660" w:rsidRDefault="00E25823">
            <w:r>
              <w:rPr>
                <w:sz w:val="18"/>
              </w:rPr>
              <w:t>Average discretionary earnings</w:t>
            </w:r>
          </w:p>
        </w:tc>
        <w:tc>
          <w:tcPr>
            <w:tcW w:w="5083" w:type="dxa"/>
            <w:vAlign w:val="center"/>
          </w:tcPr>
          <w:p w14:paraId="4A721E18" w14:textId="77777777" w:rsidR="00581660" w:rsidRDefault="00E25823">
            <w:pPr>
              <w:jc w:val="right"/>
            </w:pPr>
            <w:r>
              <w:rPr>
                <w:b/>
                <w:color w:val="123D52"/>
                <w:sz w:val="19"/>
              </w:rPr>
              <w:t>$383,295</w:t>
            </w:r>
          </w:p>
        </w:tc>
      </w:tr>
      <w:tr w:rsidR="00581660" w14:paraId="362F74E7" w14:textId="77777777">
        <w:trPr>
          <w:jc w:val="center"/>
        </w:trPr>
        <w:tc>
          <w:tcPr>
            <w:tcW w:w="5083" w:type="dxa"/>
            <w:vAlign w:val="center"/>
          </w:tcPr>
          <w:p w14:paraId="78064943" w14:textId="77777777" w:rsidR="00581660" w:rsidRDefault="00E25823">
            <w:r>
              <w:rPr>
                <w:sz w:val="18"/>
              </w:rPr>
              <w:t>Sold price / sales</w:t>
            </w:r>
          </w:p>
        </w:tc>
        <w:tc>
          <w:tcPr>
            <w:tcW w:w="5083" w:type="dxa"/>
            <w:vAlign w:val="center"/>
          </w:tcPr>
          <w:p w14:paraId="24359204" w14:textId="77777777" w:rsidR="00581660" w:rsidRDefault="00E25823">
            <w:pPr>
              <w:jc w:val="right"/>
            </w:pPr>
            <w:r>
              <w:rPr>
                <w:b/>
                <w:color w:val="123D52"/>
                <w:sz w:val="19"/>
              </w:rPr>
              <w:t>0.593x</w:t>
            </w:r>
          </w:p>
        </w:tc>
      </w:tr>
      <w:tr w:rsidR="00581660" w14:paraId="566B2F5B" w14:textId="77777777">
        <w:trPr>
          <w:jc w:val="center"/>
        </w:trPr>
        <w:tc>
          <w:tcPr>
            <w:tcW w:w="5083" w:type="dxa"/>
            <w:vAlign w:val="center"/>
          </w:tcPr>
          <w:p w14:paraId="55A48667" w14:textId="77777777" w:rsidR="00581660" w:rsidRDefault="00E25823">
            <w:r>
              <w:rPr>
                <w:sz w:val="18"/>
              </w:rPr>
              <w:t>Discretionary earnings / sales</w:t>
            </w:r>
          </w:p>
        </w:tc>
        <w:tc>
          <w:tcPr>
            <w:tcW w:w="5083" w:type="dxa"/>
            <w:vAlign w:val="center"/>
          </w:tcPr>
          <w:p w14:paraId="23C4F802" w14:textId="77777777" w:rsidR="00581660" w:rsidRDefault="00E25823">
            <w:pPr>
              <w:jc w:val="right"/>
            </w:pPr>
            <w:r>
              <w:rPr>
                <w:b/>
                <w:color w:val="123D52"/>
                <w:sz w:val="19"/>
              </w:rPr>
              <w:t>22.6%</w:t>
            </w:r>
          </w:p>
        </w:tc>
      </w:tr>
      <w:tr w:rsidR="00581660" w14:paraId="0F262346" w14:textId="77777777">
        <w:trPr>
          <w:jc w:val="center"/>
        </w:trPr>
        <w:tc>
          <w:tcPr>
            <w:tcW w:w="5083" w:type="dxa"/>
            <w:vAlign w:val="center"/>
          </w:tcPr>
          <w:p w14:paraId="69048C99" w14:textId="77777777" w:rsidR="00581660" w:rsidRDefault="00E25823">
            <w:r>
              <w:rPr>
                <w:sz w:val="18"/>
              </w:rPr>
              <w:t>Sold price / discretionary earnings</w:t>
            </w:r>
          </w:p>
        </w:tc>
        <w:tc>
          <w:tcPr>
            <w:tcW w:w="5083" w:type="dxa"/>
            <w:vAlign w:val="center"/>
          </w:tcPr>
          <w:p w14:paraId="6E92C1EA" w14:textId="77777777" w:rsidR="00581660" w:rsidRDefault="00E25823">
            <w:pPr>
              <w:jc w:val="right"/>
            </w:pPr>
            <w:r>
              <w:rPr>
                <w:b/>
                <w:color w:val="123D52"/>
                <w:sz w:val="19"/>
              </w:rPr>
              <w:t>3.184x</w:t>
            </w:r>
          </w:p>
        </w:tc>
      </w:tr>
      <w:tr w:rsidR="00581660" w14:paraId="2148FEF2" w14:textId="77777777">
        <w:trPr>
          <w:jc w:val="center"/>
        </w:trPr>
        <w:tc>
          <w:tcPr>
            <w:tcW w:w="5083" w:type="dxa"/>
            <w:vAlign w:val="center"/>
          </w:tcPr>
          <w:p w14:paraId="4523F23F" w14:textId="77777777" w:rsidR="00581660" w:rsidRDefault="00E25823">
            <w:r>
              <w:rPr>
                <w:sz w:val="18"/>
              </w:rPr>
              <w:t>Rent / sales</w:t>
            </w:r>
          </w:p>
        </w:tc>
        <w:tc>
          <w:tcPr>
            <w:tcW w:w="5083" w:type="dxa"/>
            <w:vAlign w:val="center"/>
          </w:tcPr>
          <w:p w14:paraId="0F112F1C" w14:textId="77777777" w:rsidR="00581660" w:rsidRDefault="00E25823">
            <w:pPr>
              <w:jc w:val="right"/>
            </w:pPr>
            <w:r>
              <w:rPr>
                <w:b/>
                <w:color w:val="123D52"/>
                <w:sz w:val="19"/>
              </w:rPr>
              <w:t>2.4%</w:t>
            </w:r>
          </w:p>
        </w:tc>
      </w:tr>
      <w:tr w:rsidR="00581660" w14:paraId="4CB817E0" w14:textId="77777777">
        <w:trPr>
          <w:jc w:val="center"/>
        </w:trPr>
        <w:tc>
          <w:tcPr>
            <w:tcW w:w="5083" w:type="dxa"/>
            <w:vAlign w:val="center"/>
          </w:tcPr>
          <w:p w14:paraId="08693F1E" w14:textId="77777777" w:rsidR="00581660" w:rsidRDefault="00E25823">
            <w:r>
              <w:rPr>
                <w:sz w:val="18"/>
              </w:rPr>
              <w:t>Sold price / asking price</w:t>
            </w:r>
          </w:p>
        </w:tc>
        <w:tc>
          <w:tcPr>
            <w:tcW w:w="5083" w:type="dxa"/>
            <w:vAlign w:val="center"/>
          </w:tcPr>
          <w:p w14:paraId="48A71406" w14:textId="77777777" w:rsidR="00581660" w:rsidRDefault="00E25823">
            <w:pPr>
              <w:jc w:val="right"/>
            </w:pPr>
            <w:r>
              <w:rPr>
                <w:b/>
                <w:color w:val="123D52"/>
                <w:sz w:val="19"/>
              </w:rPr>
              <w:t>87.4%</w:t>
            </w:r>
          </w:p>
        </w:tc>
      </w:tr>
      <w:tr w:rsidR="00581660" w14:paraId="0F073D6F" w14:textId="77777777">
        <w:trPr>
          <w:jc w:val="center"/>
        </w:trPr>
        <w:tc>
          <w:tcPr>
            <w:tcW w:w="5083" w:type="dxa"/>
            <w:vAlign w:val="center"/>
          </w:tcPr>
          <w:p w14:paraId="4D78C337" w14:textId="77777777" w:rsidR="00581660" w:rsidRDefault="00E25823">
            <w:r>
              <w:rPr>
                <w:sz w:val="18"/>
              </w:rPr>
              <w:t>Average days on market</w:t>
            </w:r>
          </w:p>
        </w:tc>
        <w:tc>
          <w:tcPr>
            <w:tcW w:w="5083" w:type="dxa"/>
            <w:vAlign w:val="center"/>
          </w:tcPr>
          <w:p w14:paraId="2CE602D4" w14:textId="77777777" w:rsidR="00581660" w:rsidRDefault="00E25823">
            <w:pPr>
              <w:jc w:val="right"/>
            </w:pPr>
            <w:r>
              <w:rPr>
                <w:b/>
                <w:color w:val="123D52"/>
                <w:sz w:val="19"/>
              </w:rPr>
              <w:t>296 days</w:t>
            </w:r>
          </w:p>
        </w:tc>
      </w:tr>
    </w:tbl>
    <w:p w14:paraId="23CC8A91" w14:textId="77777777" w:rsidR="00581660" w:rsidRDefault="00E25823">
      <w:r>
        <w:t>In simple terms, the average completed transaction in this Florida dataset involved approximately $2.09 million in revenue, $383,000 in discretionary earnings and a $1.48 million sold price.</w:t>
      </w:r>
    </w:p>
    <w:p w14:paraId="78EC9BD6" w14:textId="77777777" w:rsidR="00581660" w:rsidRDefault="00E25823">
      <w:pPr>
        <w:pStyle w:val="Heading2"/>
      </w:pPr>
      <w:r>
        <w:t>What the 3.18x average means</w:t>
      </w:r>
    </w:p>
    <w:p w14:paraId="282365AB" w14:textId="77777777" w:rsidR="00581660" w:rsidRDefault="00E25823">
      <w:r>
        <w:t>The 3.18x average sold-price-to-discretionary-earnings multiple is a useful reference point for Main Street and smaller lower-middle-market HVAC companies. It should not be applied mechanically. A buyer still has to determine the durability, transferability and risk of the earnings being acquired.</w:t>
      </w:r>
    </w:p>
    <w:p w14:paraId="71000D96" w14:textId="77777777" w:rsidR="00581660" w:rsidRDefault="00E25823">
      <w:r>
        <w:t>The 296-day average time on market also matters. A controlled transition is usually a process, not an event. Owners who prepare before going to market generally have more ability to protect confidentiality, address issues and make deliberate decisions.</w:t>
      </w:r>
    </w:p>
    <w:p w14:paraId="2A1623BD" w14:textId="77777777" w:rsidR="00581660" w:rsidRDefault="00E25823">
      <w:r>
        <w:br w:type="page"/>
      </w:r>
    </w:p>
    <w:p w14:paraId="2E65C109" w14:textId="77777777" w:rsidR="00581660" w:rsidRDefault="00E25823">
      <w:pPr>
        <w:pStyle w:val="Heading1"/>
      </w:pPr>
      <w:r>
        <w:lastRenderedPageBreak/>
        <w:t>2. HVAC Is a Large, Essential and Fragmented Industry</w:t>
      </w:r>
    </w:p>
    <w:p w14:paraId="10AB32AA" w14:textId="77777777" w:rsidR="00581660" w:rsidRDefault="00E25823">
      <w:r>
        <w:t>IBISWorld estimated the U.S. heating and air-conditioning contractor industry at $133.7 billion in 2024, with approximately 114,000 businesses and 568,000 employees. The industry is highly fragmented, with low concentration and high competition.</w:t>
      </w:r>
    </w:p>
    <w:tbl>
      <w:tblPr>
        <w:tblStyle w:val="TableGrid"/>
        <w:tblW w:w="0" w:type="auto"/>
        <w:jc w:val="center"/>
        <w:tblLook w:val="04A0" w:firstRow="1" w:lastRow="0" w:firstColumn="1" w:lastColumn="0" w:noHBand="0" w:noVBand="1"/>
      </w:tblPr>
      <w:tblGrid>
        <w:gridCol w:w="5078"/>
        <w:gridCol w:w="5078"/>
      </w:tblGrid>
      <w:tr w:rsidR="00581660" w14:paraId="47088C76" w14:textId="77777777">
        <w:trPr>
          <w:jc w:val="center"/>
        </w:trPr>
        <w:tc>
          <w:tcPr>
            <w:tcW w:w="5083" w:type="dxa"/>
            <w:shd w:val="clear" w:color="auto" w:fill="123D52"/>
            <w:vAlign w:val="center"/>
          </w:tcPr>
          <w:p w14:paraId="12C366AC" w14:textId="77777777" w:rsidR="00581660" w:rsidRDefault="00E25823">
            <w:r>
              <w:rPr>
                <w:b/>
                <w:color w:val="FFFFFF"/>
              </w:rPr>
              <w:t>HVAC Industry Snapshot</w:t>
            </w:r>
          </w:p>
        </w:tc>
        <w:tc>
          <w:tcPr>
            <w:tcW w:w="5083" w:type="dxa"/>
            <w:shd w:val="clear" w:color="auto" w:fill="123D52"/>
            <w:vAlign w:val="center"/>
          </w:tcPr>
          <w:p w14:paraId="6D468FD3" w14:textId="77777777" w:rsidR="00581660" w:rsidRDefault="00E25823">
            <w:pPr>
              <w:jc w:val="right"/>
            </w:pPr>
            <w:r>
              <w:rPr>
                <w:b/>
                <w:color w:val="FFFFFF"/>
              </w:rPr>
              <w:t>Reference</w:t>
            </w:r>
          </w:p>
        </w:tc>
      </w:tr>
      <w:tr w:rsidR="00581660" w14:paraId="679C082B" w14:textId="77777777">
        <w:trPr>
          <w:jc w:val="center"/>
        </w:trPr>
        <w:tc>
          <w:tcPr>
            <w:tcW w:w="5083" w:type="dxa"/>
            <w:vAlign w:val="center"/>
          </w:tcPr>
          <w:p w14:paraId="2E01599E" w14:textId="77777777" w:rsidR="00581660" w:rsidRDefault="00E25823">
            <w:r>
              <w:rPr>
                <w:sz w:val="18"/>
              </w:rPr>
              <w:t>U.S. HVAC industry revenue</w:t>
            </w:r>
          </w:p>
        </w:tc>
        <w:tc>
          <w:tcPr>
            <w:tcW w:w="5083" w:type="dxa"/>
            <w:vAlign w:val="center"/>
          </w:tcPr>
          <w:p w14:paraId="04D7D892" w14:textId="77777777" w:rsidR="00581660" w:rsidRDefault="00E25823">
            <w:pPr>
              <w:jc w:val="right"/>
            </w:pPr>
            <w:r>
              <w:rPr>
                <w:b/>
                <w:color w:val="123D52"/>
                <w:sz w:val="19"/>
              </w:rPr>
              <w:t>$133.7B</w:t>
            </w:r>
          </w:p>
        </w:tc>
      </w:tr>
      <w:tr w:rsidR="00581660" w14:paraId="07826E6C" w14:textId="77777777">
        <w:trPr>
          <w:jc w:val="center"/>
        </w:trPr>
        <w:tc>
          <w:tcPr>
            <w:tcW w:w="5083" w:type="dxa"/>
            <w:vAlign w:val="center"/>
          </w:tcPr>
          <w:p w14:paraId="67F23D20" w14:textId="77777777" w:rsidR="00581660" w:rsidRDefault="00E25823">
            <w:r>
              <w:rPr>
                <w:sz w:val="18"/>
              </w:rPr>
              <w:t>HVAC businesses</w:t>
            </w:r>
          </w:p>
        </w:tc>
        <w:tc>
          <w:tcPr>
            <w:tcW w:w="5083" w:type="dxa"/>
            <w:vAlign w:val="center"/>
          </w:tcPr>
          <w:p w14:paraId="531FD6DB" w14:textId="77777777" w:rsidR="00581660" w:rsidRDefault="00E25823">
            <w:pPr>
              <w:jc w:val="right"/>
            </w:pPr>
            <w:r>
              <w:rPr>
                <w:b/>
                <w:color w:val="123D52"/>
                <w:sz w:val="19"/>
              </w:rPr>
              <w:t>~114,000</w:t>
            </w:r>
          </w:p>
        </w:tc>
      </w:tr>
      <w:tr w:rsidR="00581660" w14:paraId="621BF82D" w14:textId="77777777">
        <w:trPr>
          <w:jc w:val="center"/>
        </w:trPr>
        <w:tc>
          <w:tcPr>
            <w:tcW w:w="5083" w:type="dxa"/>
            <w:vAlign w:val="center"/>
          </w:tcPr>
          <w:p w14:paraId="31D2D710" w14:textId="77777777" w:rsidR="00581660" w:rsidRDefault="00E25823">
            <w:r>
              <w:rPr>
                <w:sz w:val="18"/>
              </w:rPr>
              <w:t>HVAC employees</w:t>
            </w:r>
          </w:p>
        </w:tc>
        <w:tc>
          <w:tcPr>
            <w:tcW w:w="5083" w:type="dxa"/>
            <w:vAlign w:val="center"/>
          </w:tcPr>
          <w:p w14:paraId="009152A3" w14:textId="77777777" w:rsidR="00581660" w:rsidRDefault="00E25823">
            <w:pPr>
              <w:jc w:val="right"/>
            </w:pPr>
            <w:r>
              <w:rPr>
                <w:b/>
                <w:color w:val="123D52"/>
                <w:sz w:val="19"/>
              </w:rPr>
              <w:t>~568,000</w:t>
            </w:r>
          </w:p>
        </w:tc>
      </w:tr>
      <w:tr w:rsidR="00581660" w14:paraId="1F5649C5" w14:textId="77777777">
        <w:trPr>
          <w:jc w:val="center"/>
        </w:trPr>
        <w:tc>
          <w:tcPr>
            <w:tcW w:w="5083" w:type="dxa"/>
            <w:vAlign w:val="center"/>
          </w:tcPr>
          <w:p w14:paraId="660CC2B1" w14:textId="77777777" w:rsidR="00581660" w:rsidRDefault="00E25823">
            <w:r>
              <w:rPr>
                <w:sz w:val="18"/>
              </w:rPr>
              <w:t>2024 industry profit</w:t>
            </w:r>
          </w:p>
        </w:tc>
        <w:tc>
          <w:tcPr>
            <w:tcW w:w="5083" w:type="dxa"/>
            <w:vAlign w:val="center"/>
          </w:tcPr>
          <w:p w14:paraId="1295FEA2" w14:textId="77777777" w:rsidR="00581660" w:rsidRDefault="00E25823">
            <w:pPr>
              <w:jc w:val="right"/>
            </w:pPr>
            <w:r>
              <w:rPr>
                <w:b/>
                <w:color w:val="123D52"/>
                <w:sz w:val="19"/>
              </w:rPr>
              <w:t>$7.2B</w:t>
            </w:r>
          </w:p>
        </w:tc>
      </w:tr>
      <w:tr w:rsidR="00581660" w14:paraId="69E996C9" w14:textId="77777777">
        <w:trPr>
          <w:jc w:val="center"/>
        </w:trPr>
        <w:tc>
          <w:tcPr>
            <w:tcW w:w="5083" w:type="dxa"/>
            <w:vAlign w:val="center"/>
          </w:tcPr>
          <w:p w14:paraId="4C58D7E4" w14:textId="77777777" w:rsidR="00581660" w:rsidRDefault="00E25823">
            <w:r>
              <w:rPr>
                <w:sz w:val="18"/>
              </w:rPr>
              <w:t>2024 industry profit margin</w:t>
            </w:r>
          </w:p>
        </w:tc>
        <w:tc>
          <w:tcPr>
            <w:tcW w:w="5083" w:type="dxa"/>
            <w:vAlign w:val="center"/>
          </w:tcPr>
          <w:p w14:paraId="075F310E" w14:textId="77777777" w:rsidR="00581660" w:rsidRDefault="00E25823">
            <w:pPr>
              <w:jc w:val="right"/>
            </w:pPr>
            <w:r>
              <w:rPr>
                <w:b/>
                <w:color w:val="123D52"/>
                <w:sz w:val="19"/>
              </w:rPr>
              <w:t>5.4%</w:t>
            </w:r>
          </w:p>
        </w:tc>
      </w:tr>
      <w:tr w:rsidR="00581660" w14:paraId="3F5E23E9" w14:textId="77777777">
        <w:trPr>
          <w:jc w:val="center"/>
        </w:trPr>
        <w:tc>
          <w:tcPr>
            <w:tcW w:w="5083" w:type="dxa"/>
            <w:vAlign w:val="center"/>
          </w:tcPr>
          <w:p w14:paraId="414A9FC5" w14:textId="77777777" w:rsidR="00581660" w:rsidRDefault="00E25823">
            <w:r>
              <w:rPr>
                <w:sz w:val="18"/>
              </w:rPr>
              <w:t>2024-2029 revenue growth forecast</w:t>
            </w:r>
          </w:p>
        </w:tc>
        <w:tc>
          <w:tcPr>
            <w:tcW w:w="5083" w:type="dxa"/>
            <w:vAlign w:val="center"/>
          </w:tcPr>
          <w:p w14:paraId="66E020FB" w14:textId="77777777" w:rsidR="00581660" w:rsidRDefault="00E25823">
            <w:pPr>
              <w:jc w:val="right"/>
            </w:pPr>
            <w:r>
              <w:rPr>
                <w:b/>
                <w:color w:val="123D52"/>
                <w:sz w:val="19"/>
              </w:rPr>
              <w:t>1.9% CAGR</w:t>
            </w:r>
          </w:p>
        </w:tc>
      </w:tr>
      <w:tr w:rsidR="00581660" w14:paraId="0E384199" w14:textId="77777777">
        <w:trPr>
          <w:jc w:val="center"/>
        </w:trPr>
        <w:tc>
          <w:tcPr>
            <w:tcW w:w="5083" w:type="dxa"/>
            <w:vAlign w:val="center"/>
          </w:tcPr>
          <w:p w14:paraId="19947C9C" w14:textId="77777777" w:rsidR="00581660" w:rsidRDefault="00E25823">
            <w:r>
              <w:rPr>
                <w:sz w:val="18"/>
              </w:rPr>
              <w:t>Revenue per employee</w:t>
            </w:r>
          </w:p>
        </w:tc>
        <w:tc>
          <w:tcPr>
            <w:tcW w:w="5083" w:type="dxa"/>
            <w:vAlign w:val="center"/>
          </w:tcPr>
          <w:p w14:paraId="707D33C7" w14:textId="77777777" w:rsidR="00581660" w:rsidRDefault="00E25823">
            <w:pPr>
              <w:jc w:val="right"/>
            </w:pPr>
            <w:r>
              <w:rPr>
                <w:b/>
                <w:color w:val="123D52"/>
                <w:sz w:val="19"/>
              </w:rPr>
              <w:t>~$235,000</w:t>
            </w:r>
          </w:p>
        </w:tc>
      </w:tr>
    </w:tbl>
    <w:p w14:paraId="1F393811" w14:textId="77777777" w:rsidR="00581660" w:rsidRDefault="00E25823">
      <w:r>
        <w:t>The broader HVAC and plumbing contractor category is even larger. Vertical IQ reports approximately 107,000 companies, more than 1.3 million workers and $306.3 billion in annual revenue. The average contractor employs about 12 workers and generates approximately $2.9 million in annual revenue.</w:t>
      </w:r>
    </w:p>
    <w:p w14:paraId="7128A177" w14:textId="77777777" w:rsidR="00581660" w:rsidRDefault="00E25823">
      <w:pPr>
        <w:pStyle w:val="Heading1"/>
      </w:pPr>
      <w:r>
        <w:t>3. Florida Has Structural HVAC Demand</w:t>
      </w:r>
    </w:p>
    <w:p w14:paraId="3EC74266" w14:textId="77777777" w:rsidR="00581660" w:rsidRDefault="00E25823">
      <w:r>
        <w:t>Florida is a particularly important HVAC market because cooling is not discretionary for much of the year. Vertical IQ reports 10,952 HVAC and plumbing establishments in Florida, representing 8.9% of U.S. establishments, with the Florida count increasing 3.0% year over year in the period measured.</w:t>
      </w:r>
    </w:p>
    <w:p w14:paraId="7D4B19BE" w14:textId="77777777" w:rsidR="00581660" w:rsidRDefault="00E25823">
      <w:r>
        <w:t>IBISWorld specifically identifies the Southeast as a major center for HVAC contractors because warm, humid conditions create high cooling demand. Population growth, construction, tourism and hospitality also support installation and maintenance activity in Florida.</w:t>
      </w:r>
    </w:p>
    <w:tbl>
      <w:tblPr>
        <w:tblW w:w="0" w:type="auto"/>
        <w:jc w:val="center"/>
        <w:tblLook w:val="04A0" w:firstRow="1" w:lastRow="0" w:firstColumn="1" w:lastColumn="0" w:noHBand="0" w:noVBand="1"/>
      </w:tblPr>
      <w:tblGrid>
        <w:gridCol w:w="10166"/>
      </w:tblGrid>
      <w:tr w:rsidR="00581660" w14:paraId="79718B8E" w14:textId="77777777">
        <w:trPr>
          <w:jc w:val="center"/>
        </w:trPr>
        <w:tc>
          <w:tcPr>
            <w:tcW w:w="10166" w:type="dxa"/>
            <w:shd w:val="clear" w:color="auto" w:fill="EEF3F4"/>
          </w:tcPr>
          <w:p w14:paraId="4527944C" w14:textId="77777777" w:rsidR="00581660" w:rsidRDefault="00E25823">
            <w:r>
              <w:rPr>
                <w:b/>
                <w:color w:val="123D52"/>
                <w:sz w:val="22"/>
              </w:rPr>
              <w:t>Why this matters to an owner</w:t>
            </w:r>
          </w:p>
          <w:p w14:paraId="1A70EE45" w14:textId="77777777" w:rsidR="00581660" w:rsidRDefault="00E25823">
            <w:r>
              <w:rPr>
                <w:color w:val="243238"/>
              </w:rPr>
              <w:t>Florida provides a strong demand backdrop, but geography alone does not create a premium company. Buyers still distinguish between businesses that simply participate in a good market and businesses that have built repeatable systems, customer relationships and recurring service revenue.</w:t>
            </w:r>
          </w:p>
        </w:tc>
      </w:tr>
    </w:tbl>
    <w:p w14:paraId="1403B329" w14:textId="77777777" w:rsidR="00581660" w:rsidRDefault="00E25823">
      <w:pPr>
        <w:pStyle w:val="Heading1"/>
      </w:pPr>
      <w:r>
        <w:t>4. Revenue Mix Tells Buyers What Kind of Business They Are Buying</w:t>
      </w:r>
    </w:p>
    <w:p w14:paraId="6CFCE703" w14:textId="77777777" w:rsidR="00581660" w:rsidRDefault="00E25823">
      <w:r>
        <w:t>The broader HVAC and plumbing industry revenue mix provides a useful operating reference:</w:t>
      </w:r>
    </w:p>
    <w:tbl>
      <w:tblPr>
        <w:tblStyle w:val="TableGrid"/>
        <w:tblW w:w="0" w:type="auto"/>
        <w:jc w:val="center"/>
        <w:tblLook w:val="04A0" w:firstRow="1" w:lastRow="0" w:firstColumn="1" w:lastColumn="0" w:noHBand="0" w:noVBand="1"/>
      </w:tblPr>
      <w:tblGrid>
        <w:gridCol w:w="5078"/>
        <w:gridCol w:w="5078"/>
      </w:tblGrid>
      <w:tr w:rsidR="00581660" w14:paraId="6554C523" w14:textId="77777777">
        <w:trPr>
          <w:jc w:val="center"/>
        </w:trPr>
        <w:tc>
          <w:tcPr>
            <w:tcW w:w="5083" w:type="dxa"/>
            <w:shd w:val="clear" w:color="auto" w:fill="123D52"/>
            <w:vAlign w:val="center"/>
          </w:tcPr>
          <w:p w14:paraId="3D3743FE" w14:textId="77777777" w:rsidR="00581660" w:rsidRDefault="00E25823">
            <w:r>
              <w:rPr>
                <w:b/>
                <w:color w:val="FFFFFF"/>
              </w:rPr>
              <w:t>Type of Work</w:t>
            </w:r>
          </w:p>
        </w:tc>
        <w:tc>
          <w:tcPr>
            <w:tcW w:w="5083" w:type="dxa"/>
            <w:shd w:val="clear" w:color="auto" w:fill="123D52"/>
            <w:vAlign w:val="center"/>
          </w:tcPr>
          <w:p w14:paraId="0C384251" w14:textId="77777777" w:rsidR="00581660" w:rsidRDefault="00E25823">
            <w:pPr>
              <w:jc w:val="right"/>
            </w:pPr>
            <w:r>
              <w:rPr>
                <w:b/>
                <w:color w:val="FFFFFF"/>
              </w:rPr>
              <w:t>Industry Share</w:t>
            </w:r>
          </w:p>
        </w:tc>
      </w:tr>
      <w:tr w:rsidR="00581660" w14:paraId="10A19848" w14:textId="77777777">
        <w:trPr>
          <w:jc w:val="center"/>
        </w:trPr>
        <w:tc>
          <w:tcPr>
            <w:tcW w:w="5083" w:type="dxa"/>
            <w:vAlign w:val="center"/>
          </w:tcPr>
          <w:p w14:paraId="001BB3E6" w14:textId="77777777" w:rsidR="00581660" w:rsidRDefault="00E25823">
            <w:r>
              <w:rPr>
                <w:sz w:val="18"/>
              </w:rPr>
              <w:t>New construction</w:t>
            </w:r>
          </w:p>
        </w:tc>
        <w:tc>
          <w:tcPr>
            <w:tcW w:w="5083" w:type="dxa"/>
            <w:vAlign w:val="center"/>
          </w:tcPr>
          <w:p w14:paraId="41D12C69" w14:textId="77777777" w:rsidR="00581660" w:rsidRDefault="00E25823">
            <w:pPr>
              <w:jc w:val="right"/>
            </w:pPr>
            <w:r>
              <w:rPr>
                <w:b/>
                <w:color w:val="123D52"/>
                <w:sz w:val="19"/>
              </w:rPr>
              <w:t>43%</w:t>
            </w:r>
          </w:p>
        </w:tc>
      </w:tr>
      <w:tr w:rsidR="00581660" w14:paraId="4FEFB190" w14:textId="77777777">
        <w:trPr>
          <w:jc w:val="center"/>
        </w:trPr>
        <w:tc>
          <w:tcPr>
            <w:tcW w:w="5083" w:type="dxa"/>
            <w:vAlign w:val="center"/>
          </w:tcPr>
          <w:p w14:paraId="225BC5BE" w14:textId="77777777" w:rsidR="00581660" w:rsidRDefault="00E25823">
            <w:r>
              <w:rPr>
                <w:sz w:val="18"/>
              </w:rPr>
              <w:t>Maintenance &amp; repair</w:t>
            </w:r>
          </w:p>
        </w:tc>
        <w:tc>
          <w:tcPr>
            <w:tcW w:w="5083" w:type="dxa"/>
            <w:vAlign w:val="center"/>
          </w:tcPr>
          <w:p w14:paraId="35BDDDB8" w14:textId="77777777" w:rsidR="00581660" w:rsidRDefault="00E25823">
            <w:pPr>
              <w:jc w:val="right"/>
            </w:pPr>
            <w:r>
              <w:rPr>
                <w:b/>
                <w:color w:val="123D52"/>
                <w:sz w:val="19"/>
              </w:rPr>
              <w:t>29%</w:t>
            </w:r>
          </w:p>
        </w:tc>
      </w:tr>
      <w:tr w:rsidR="00581660" w14:paraId="69A444DD" w14:textId="77777777">
        <w:trPr>
          <w:jc w:val="center"/>
        </w:trPr>
        <w:tc>
          <w:tcPr>
            <w:tcW w:w="5083" w:type="dxa"/>
            <w:vAlign w:val="center"/>
          </w:tcPr>
          <w:p w14:paraId="397BB35C" w14:textId="77777777" w:rsidR="00581660" w:rsidRDefault="00E25823">
            <w:r>
              <w:rPr>
                <w:sz w:val="18"/>
              </w:rPr>
              <w:t>Additions, renovations &amp; alterations</w:t>
            </w:r>
          </w:p>
        </w:tc>
        <w:tc>
          <w:tcPr>
            <w:tcW w:w="5083" w:type="dxa"/>
            <w:vAlign w:val="center"/>
          </w:tcPr>
          <w:p w14:paraId="599CA64A" w14:textId="77777777" w:rsidR="00581660" w:rsidRDefault="00E25823">
            <w:pPr>
              <w:jc w:val="right"/>
            </w:pPr>
            <w:r>
              <w:rPr>
                <w:b/>
                <w:color w:val="123D52"/>
                <w:sz w:val="19"/>
              </w:rPr>
              <w:t>26%</w:t>
            </w:r>
          </w:p>
        </w:tc>
      </w:tr>
      <w:tr w:rsidR="00581660" w14:paraId="244FADD8" w14:textId="77777777">
        <w:trPr>
          <w:jc w:val="center"/>
        </w:trPr>
        <w:tc>
          <w:tcPr>
            <w:tcW w:w="5083" w:type="dxa"/>
            <w:vAlign w:val="center"/>
          </w:tcPr>
          <w:p w14:paraId="5DF2C646" w14:textId="77777777" w:rsidR="00581660" w:rsidRDefault="00E25823">
            <w:r>
              <w:rPr>
                <w:sz w:val="18"/>
              </w:rPr>
              <w:t>Other</w:t>
            </w:r>
          </w:p>
        </w:tc>
        <w:tc>
          <w:tcPr>
            <w:tcW w:w="5083" w:type="dxa"/>
            <w:vAlign w:val="center"/>
          </w:tcPr>
          <w:p w14:paraId="45AD4C29" w14:textId="77777777" w:rsidR="00581660" w:rsidRDefault="00E25823">
            <w:pPr>
              <w:jc w:val="right"/>
            </w:pPr>
            <w:r>
              <w:rPr>
                <w:b/>
                <w:color w:val="123D52"/>
                <w:sz w:val="19"/>
              </w:rPr>
              <w:t>2%</w:t>
            </w:r>
          </w:p>
        </w:tc>
      </w:tr>
    </w:tbl>
    <w:p w14:paraId="1FCCEEFE" w14:textId="77777777" w:rsidR="00581660" w:rsidRDefault="00E25823">
      <w:r>
        <w:t>That mix matters because installation, replacement, service, maintenance and new construction do not carry the same risk profile. New construction can create meaningful backlog, but it may expose the company to competitive bidding, general-contractor concentration and construction cycles. Service and maintenance can create repeat customer relationships and smoother demand.</w:t>
      </w:r>
    </w:p>
    <w:p w14:paraId="13F9509B" w14:textId="77777777" w:rsidR="00581660" w:rsidRDefault="00E25823">
      <w:r>
        <w:t>For an HVAC owner, one of the most useful exercises is separating revenue and gross profit into service, maintenance agreements, replacement, new construction and other meaningful operating categories.</w:t>
      </w:r>
    </w:p>
    <w:p w14:paraId="5E9604FA" w14:textId="77777777" w:rsidR="00581660" w:rsidRDefault="00E25823">
      <w:r>
        <w:lastRenderedPageBreak/>
        <w:br w:type="page"/>
      </w:r>
    </w:p>
    <w:p w14:paraId="3C49CD47" w14:textId="77777777" w:rsidR="00581660" w:rsidRDefault="00E25823">
      <w:pPr>
        <w:pStyle w:val="Heading1"/>
      </w:pPr>
      <w:r>
        <w:lastRenderedPageBreak/>
        <w:t>5. Maintenance Agreements Can Change the Quality of the Business</w:t>
      </w:r>
    </w:p>
    <w:p w14:paraId="7654EA31" w14:textId="77777777" w:rsidR="00581660" w:rsidRDefault="00E25823">
      <w:r>
        <w:t>Vertical IQ notes that contractors may offer maintenance agreements that generate steady cash flow and help compensate for seasonality. It also reports that companies with maintenance agreements typically have smoother cash flow because work is spread over a longer period.</w:t>
      </w:r>
    </w:p>
    <w:p w14:paraId="32A94BFE" w14:textId="77777777" w:rsidR="00581660" w:rsidRDefault="00E25823">
      <w:r>
        <w:t>From a buyer's perspective, the number of agreements is only the beginning. A buyer will want to understand renewal rates, average annual revenue per agreement, conversion from maintenance to repair or replacement, customer tenure, pricing discipline and whether those relationships belong to the company rather than to the owner.</w:t>
      </w:r>
    </w:p>
    <w:tbl>
      <w:tblPr>
        <w:tblW w:w="0" w:type="auto"/>
        <w:jc w:val="center"/>
        <w:tblLook w:val="04A0" w:firstRow="1" w:lastRow="0" w:firstColumn="1" w:lastColumn="0" w:noHBand="0" w:noVBand="1"/>
      </w:tblPr>
      <w:tblGrid>
        <w:gridCol w:w="10166"/>
      </w:tblGrid>
      <w:tr w:rsidR="00581660" w14:paraId="73E12FB3" w14:textId="77777777">
        <w:trPr>
          <w:jc w:val="center"/>
        </w:trPr>
        <w:tc>
          <w:tcPr>
            <w:tcW w:w="10166" w:type="dxa"/>
            <w:shd w:val="clear" w:color="auto" w:fill="EEF3F4"/>
          </w:tcPr>
          <w:p w14:paraId="23D52239" w14:textId="77777777" w:rsidR="00581660" w:rsidRDefault="00E25823">
            <w:r>
              <w:rPr>
                <w:b/>
                <w:color w:val="123D52"/>
                <w:sz w:val="22"/>
              </w:rPr>
              <w:t>A useful owner question</w:t>
            </w:r>
          </w:p>
          <w:p w14:paraId="428E9B1B" w14:textId="77777777" w:rsidR="00581660" w:rsidRDefault="00E25823">
            <w:r>
              <w:rPr>
                <w:color w:val="243238"/>
              </w:rPr>
              <w:t>If no new customer called tomorrow, how much work would already be expected from the existing customer base over the next twelve months?</w:t>
            </w:r>
          </w:p>
        </w:tc>
      </w:tr>
    </w:tbl>
    <w:p w14:paraId="20EFDE84" w14:textId="77777777" w:rsidR="00581660" w:rsidRDefault="00E25823">
      <w:pPr>
        <w:pStyle w:val="Heading1"/>
      </w:pPr>
      <w:r>
        <w:t>6. What Buyers Pay Attention to in an HVAC Contractor</w:t>
      </w:r>
    </w:p>
    <w:p w14:paraId="2D38246D" w14:textId="77777777" w:rsidR="00581660" w:rsidRDefault="00E25823">
      <w:pPr>
        <w:pStyle w:val="Heading2"/>
      </w:pPr>
      <w:r>
        <w:t>Service and maintenance mix</w:t>
      </w:r>
    </w:p>
    <w:p w14:paraId="5DDA4575" w14:textId="77777777" w:rsidR="00581660" w:rsidRDefault="00E25823">
      <w:r>
        <w:t>A meaningful base of repair, maintenance and repeat service can reduce dependence on new construction and one-time replacement work.</w:t>
      </w:r>
    </w:p>
    <w:p w14:paraId="19A78DDF" w14:textId="77777777" w:rsidR="00581660" w:rsidRDefault="00E25823">
      <w:pPr>
        <w:pStyle w:val="Heading2"/>
      </w:pPr>
      <w:r>
        <w:t>Maintenance agreement base</w:t>
      </w:r>
    </w:p>
    <w:p w14:paraId="4BFA5ADC" w14:textId="77777777" w:rsidR="00581660" w:rsidRDefault="00E25823">
      <w:r>
        <w:t>Buyers want to know the number of agreements, renewal rates, pricing, customer tenure and how consistently agreements create future service and replacement opportunities.</w:t>
      </w:r>
    </w:p>
    <w:p w14:paraId="5E7C8243" w14:textId="77777777" w:rsidR="00581660" w:rsidRDefault="00E25823">
      <w:pPr>
        <w:pStyle w:val="Heading2"/>
      </w:pPr>
      <w:r>
        <w:t>Technician depth and retention</w:t>
      </w:r>
    </w:p>
    <w:p w14:paraId="699E2419" w14:textId="77777777" w:rsidR="00581660" w:rsidRDefault="00E25823">
      <w:r>
        <w:t>HVAC capacity is constrained by skilled technicians. Buyers want to know who performs the work, how long they have been there and whether the team is likely to remain after a transition.</w:t>
      </w:r>
    </w:p>
    <w:p w14:paraId="72DBB22A" w14:textId="77777777" w:rsidR="00581660" w:rsidRDefault="00E25823">
      <w:pPr>
        <w:pStyle w:val="Heading2"/>
      </w:pPr>
      <w:r>
        <w:t>Revenue per technician</w:t>
      </w:r>
    </w:p>
    <w:p w14:paraId="714EE25A" w14:textId="77777777" w:rsidR="00581660" w:rsidRDefault="00E25823">
      <w:r>
        <w:t>Routing, scheduling, training, tools, parts availability and dispatch discipline affect how much productive work each technician can complete.</w:t>
      </w:r>
    </w:p>
    <w:p w14:paraId="7A4E8284" w14:textId="77777777" w:rsidR="00581660" w:rsidRDefault="00E25823">
      <w:pPr>
        <w:pStyle w:val="Heading2"/>
      </w:pPr>
      <w:r>
        <w:t>Lead-source diversification</w:t>
      </w:r>
    </w:p>
    <w:p w14:paraId="30F1EA7B" w14:textId="77777777" w:rsidR="00581660" w:rsidRDefault="00E25823">
      <w:r>
        <w:t>Referrals, organic search, paid marketing, maintenance customers, property managers, builders and commercial relationships should be understood separately.</w:t>
      </w:r>
    </w:p>
    <w:p w14:paraId="4BBD3325" w14:textId="77777777" w:rsidR="00581660" w:rsidRDefault="00E25823">
      <w:pPr>
        <w:pStyle w:val="Heading2"/>
      </w:pPr>
      <w:r>
        <w:t>Customer concentration</w:t>
      </w:r>
    </w:p>
    <w:p w14:paraId="345FF0B4" w14:textId="77777777" w:rsidR="00581660" w:rsidRDefault="00E25823">
      <w:r>
        <w:t>A company dependent on one general contractor, commercial account or referral relationship carries more transition risk than one with diversified demand.</w:t>
      </w:r>
    </w:p>
    <w:p w14:paraId="5FA1F032" w14:textId="77777777" w:rsidR="00581660" w:rsidRDefault="00E25823">
      <w:pPr>
        <w:pStyle w:val="Heading2"/>
      </w:pPr>
      <w:r>
        <w:t>Pricing and job costing</w:t>
      </w:r>
    </w:p>
    <w:p w14:paraId="6288A0F4" w14:textId="77777777" w:rsidR="00581660" w:rsidRDefault="00E25823">
      <w:r>
        <w:t>Accurate labor estimates, equipment costs, parts markups and overhead recovery are fundamental to protecting gross margins.</w:t>
      </w:r>
    </w:p>
    <w:p w14:paraId="2E9394F9" w14:textId="77777777" w:rsidR="00581660" w:rsidRDefault="00E25823">
      <w:pPr>
        <w:pStyle w:val="Heading2"/>
      </w:pPr>
      <w:r>
        <w:t>Owner dependence</w:t>
      </w:r>
    </w:p>
    <w:p w14:paraId="6EC6D03F" w14:textId="77777777" w:rsidR="00581660" w:rsidRDefault="00E25823">
      <w:r>
        <w:t>If the owner remains the chief salesperson, estimator, dispatcher, technical problem-solver and relationship manager, a buyer must solve for that role after closing.</w:t>
      </w:r>
    </w:p>
    <w:p w14:paraId="5C2FFF24" w14:textId="77777777" w:rsidR="00581660" w:rsidRDefault="00E25823">
      <w:pPr>
        <w:pStyle w:val="Heading2"/>
      </w:pPr>
      <w:r>
        <w:t>Licensing and certifications</w:t>
      </w:r>
    </w:p>
    <w:p w14:paraId="385BE477" w14:textId="77777777" w:rsidR="00581660" w:rsidRDefault="00E25823">
      <w:r>
        <w:t>Buyers will examine qualifying-agent dependence, refrigerant certifications and other credentials necessary to continue operating.</w:t>
      </w:r>
    </w:p>
    <w:p w14:paraId="385881A6" w14:textId="77777777" w:rsidR="00581660" w:rsidRDefault="00E25823">
      <w:pPr>
        <w:pStyle w:val="Heading2"/>
      </w:pPr>
      <w:r>
        <w:lastRenderedPageBreak/>
        <w:t>Reputation</w:t>
      </w:r>
    </w:p>
    <w:p w14:paraId="36727DAB" w14:textId="77777777" w:rsidR="00581660" w:rsidRDefault="00E25823">
      <w:r>
        <w:t>Reviews, referrals, callbacks, warranties and customer satisfaction are part of the company's intangible value.</w:t>
      </w:r>
    </w:p>
    <w:p w14:paraId="614BE415" w14:textId="77777777" w:rsidR="00581660" w:rsidRDefault="00E25823">
      <w:r>
        <w:br w:type="page"/>
      </w:r>
    </w:p>
    <w:p w14:paraId="3779E71A" w14:textId="77777777" w:rsidR="00581660" w:rsidRDefault="00E25823">
      <w:pPr>
        <w:pStyle w:val="Heading1"/>
      </w:pPr>
      <w:r>
        <w:lastRenderedPageBreak/>
        <w:t>7. The Technician Base Is Part of the Asset</w:t>
      </w:r>
    </w:p>
    <w:p w14:paraId="5AA39262" w14:textId="77777777" w:rsidR="00581660" w:rsidRDefault="00E25823">
      <w:r>
        <w:t>Vertical IQ identifies technician productivity as a major profit driver because the number of technicians limits how much work a contractor can perform. Training, tools, parts availability, routing and scheduling can all improve technician productivity.</w:t>
      </w:r>
    </w:p>
    <w:p w14:paraId="50338D72" w14:textId="77777777" w:rsidR="00581660" w:rsidRDefault="00E25823">
      <w:r>
        <w:t>The same report showed average nonsupervisory wages in the broader HVAC and plumbing contractor category at $39.21 per hour in June 2025, up 4.0% from the prior year. Employment in the category had grown 35.3% over the prior ten years.</w:t>
      </w:r>
    </w:p>
    <w:p w14:paraId="64C63211" w14:textId="77777777" w:rsidR="00581660" w:rsidRDefault="00E25823">
      <w:r>
        <w:t>For a buyer, this makes workforce quality more than an HR issue. Technician tenure, compensation, certifications, productivity, dispatch efficiency and retention can directly affect the earnings that survive a change of ownership.</w:t>
      </w:r>
    </w:p>
    <w:p w14:paraId="227BA658" w14:textId="77777777" w:rsidR="00581660" w:rsidRDefault="00E25823">
      <w:pPr>
        <w:pStyle w:val="Heading1"/>
      </w:pPr>
      <w:r>
        <w:t>8. Margin Quality Is Built Through Pricing and Execution</w:t>
      </w:r>
    </w:p>
    <w:p w14:paraId="7CA95495" w14:textId="77777777" w:rsidR="00581660" w:rsidRDefault="00E25823">
      <w:r>
        <w:t>Vertical IQ reports gross margins of roughly 34% of sales for the broader HVAC and plumbing contractor category, with after-tax net profit averaging approximately 6% to 9% of sales. These are broad operating benchmarks rather than targets for a specific HVAC company.</w:t>
      </w:r>
    </w:p>
    <w:p w14:paraId="071ED770" w14:textId="77777777" w:rsidR="00581660" w:rsidRDefault="00E25823">
      <w:r>
        <w:t>The report identifies accurate estimating and pricing as core profit drivers. Labor hours, equipment and parts costs, markups and overhead all need to be reflected in pricing. Flat-rate pricing can improve customer clarity, but it also requires the contractor to operate efficiently enough to earn the expected margin.</w:t>
      </w:r>
    </w:p>
    <w:p w14:paraId="453B882D" w14:textId="77777777" w:rsidR="00581660" w:rsidRDefault="00E25823">
      <w:r>
        <w:t>A buyer will generally place more confidence in earnings when the company can show margin by service line and can compare estimated performance with actual results.</w:t>
      </w:r>
    </w:p>
    <w:p w14:paraId="17E411CC" w14:textId="77777777" w:rsidR="00581660" w:rsidRDefault="00E25823">
      <w:pPr>
        <w:pStyle w:val="Heading1"/>
      </w:pPr>
      <w:r>
        <w:t>9. Working Capital and Cash Flow Still Matter</w:t>
      </w:r>
    </w:p>
    <w:p w14:paraId="238B84B8" w14:textId="77777777" w:rsidR="00581660" w:rsidRDefault="00E25823">
      <w:r>
        <w:t>Service work may be paid at completion, while larger projects can involve milestone billing, retainage and slower collections. Vertical IQ reports collection periods averaging roughly 58 to 64 days for the broader category, with receivables representing approximately 32% to 35% of total assets.</w:t>
      </w:r>
    </w:p>
    <w:p w14:paraId="3A6F56DE" w14:textId="77777777" w:rsidR="00581660" w:rsidRDefault="00E25823">
      <w:r>
        <w:t>A strong income statement does not automatically mean a business produces easy cash flow. Buyers will examine receivables quality, deposits, project billing, inventory, equipment purchases and the working capital needed to support growth.</w:t>
      </w:r>
    </w:p>
    <w:p w14:paraId="5C645C30" w14:textId="77777777" w:rsidR="00581660" w:rsidRDefault="00E25823">
      <w:r>
        <w:br w:type="page"/>
      </w:r>
    </w:p>
    <w:p w14:paraId="1131799A" w14:textId="77777777" w:rsidR="00581660" w:rsidRDefault="00E25823">
      <w:pPr>
        <w:pStyle w:val="Heading1"/>
      </w:pPr>
      <w:r>
        <w:lastRenderedPageBreak/>
        <w:t>10. What Can Reduce Value or Slow a Transaction</w:t>
      </w:r>
    </w:p>
    <w:p w14:paraId="3212CC75" w14:textId="77777777" w:rsidR="00581660" w:rsidRDefault="00E25823">
      <w:pPr>
        <w:pStyle w:val="ListBullet"/>
      </w:pPr>
      <w:r>
        <w:t>The owner personally controls most sales, estimating, dispatch, technical decisions or major customer relationships.</w:t>
      </w:r>
    </w:p>
    <w:p w14:paraId="163A713C" w14:textId="77777777" w:rsidR="00581660" w:rsidRDefault="00E25823">
      <w:pPr>
        <w:pStyle w:val="ListBullet"/>
      </w:pPr>
      <w:r>
        <w:t>Maintenance agreements exist but renewal, pricing and customer data are not tracked clearly.</w:t>
      </w:r>
    </w:p>
    <w:p w14:paraId="5B16BE45" w14:textId="77777777" w:rsidR="00581660" w:rsidRDefault="00E25823">
      <w:pPr>
        <w:pStyle w:val="ListBullet"/>
      </w:pPr>
      <w:r>
        <w:t>One general contractor, builder, property manager or commercial account represents an outsized share of revenue.</w:t>
      </w:r>
    </w:p>
    <w:p w14:paraId="128E551B" w14:textId="77777777" w:rsidR="00581660" w:rsidRDefault="00E25823">
      <w:pPr>
        <w:pStyle w:val="ListBullet"/>
      </w:pPr>
      <w:r>
        <w:t>Revenue has grown, but technician capacity and management depth have not kept pace.</w:t>
      </w:r>
    </w:p>
    <w:p w14:paraId="79639FD5" w14:textId="77777777" w:rsidR="00581660" w:rsidRDefault="00E25823">
      <w:pPr>
        <w:pStyle w:val="ListBullet"/>
      </w:pPr>
      <w:r>
        <w:t>Service, replacement and new-construction margins cannot be separated.</w:t>
      </w:r>
    </w:p>
    <w:p w14:paraId="7DF7A2F7" w14:textId="77777777" w:rsidR="00581660" w:rsidRDefault="00E25823">
      <w:pPr>
        <w:pStyle w:val="ListBullet"/>
      </w:pPr>
      <w:r>
        <w:t>Technician turnover is high or key employees are likely to leave with the owner.</w:t>
      </w:r>
    </w:p>
    <w:p w14:paraId="2033CFD9" w14:textId="77777777" w:rsidR="00581660" w:rsidRDefault="00E25823">
      <w:pPr>
        <w:pStyle w:val="ListBullet"/>
      </w:pPr>
      <w:r>
        <w:t>The company's qualifying license or important technical credentials depend entirely on the seller.</w:t>
      </w:r>
    </w:p>
    <w:p w14:paraId="7EB983E1" w14:textId="77777777" w:rsidR="00581660" w:rsidRDefault="00E25823">
      <w:pPr>
        <w:pStyle w:val="ListBullet"/>
      </w:pPr>
      <w:r>
        <w:t>Lead generation is concentrated in one expensive marketing channel.</w:t>
      </w:r>
    </w:p>
    <w:p w14:paraId="2E055CF4" w14:textId="77777777" w:rsidR="00581660" w:rsidRDefault="00E25823">
      <w:pPr>
        <w:pStyle w:val="ListBullet"/>
      </w:pPr>
      <w:r>
        <w:t>Financial reporting does not clearly support owner add-backs or normalized earnings.</w:t>
      </w:r>
    </w:p>
    <w:p w14:paraId="1ECBCD31" w14:textId="77777777" w:rsidR="00581660" w:rsidRDefault="00E25823">
      <w:pPr>
        <w:pStyle w:val="ListBullet"/>
      </w:pPr>
      <w:r>
        <w:t>Receivables are aged, disputed or concentrated in construction customers.</w:t>
      </w:r>
    </w:p>
    <w:p w14:paraId="0B8B8E65" w14:textId="77777777" w:rsidR="00581660" w:rsidRDefault="00E25823">
      <w:pPr>
        <w:pStyle w:val="ListBullet"/>
      </w:pPr>
      <w:r>
        <w:t>Fleet or equipment replacement needs have been deferred.</w:t>
      </w:r>
    </w:p>
    <w:p w14:paraId="03E27803" w14:textId="77777777" w:rsidR="00581660" w:rsidRDefault="00E25823">
      <w:pPr>
        <w:pStyle w:val="ListBullet"/>
      </w:pPr>
      <w:r>
        <w:t>Customer reviews, callbacks or warranty issues create uncertainty about reputation.</w:t>
      </w:r>
    </w:p>
    <w:p w14:paraId="2222AADD" w14:textId="77777777" w:rsidR="00581660" w:rsidRDefault="00E25823">
      <w:r>
        <w:t>None of these automatically prevents a transaction. They create uncertainty. Buyers usually respond to uncertainty through lower value, more diligence, more protective deal structure or a slower path to closing.</w:t>
      </w:r>
    </w:p>
    <w:p w14:paraId="2701945D" w14:textId="77777777" w:rsidR="00581660" w:rsidRDefault="00E25823">
      <w:pPr>
        <w:pStyle w:val="Heading1"/>
      </w:pPr>
      <w:r>
        <w:t>11. Why Two Similar HVAC Companies Can Sell for Different Amounts</w:t>
      </w:r>
    </w:p>
    <w:tbl>
      <w:tblPr>
        <w:tblStyle w:val="TableGrid"/>
        <w:tblW w:w="0" w:type="auto"/>
        <w:jc w:val="center"/>
        <w:tblLook w:val="04A0" w:firstRow="1" w:lastRow="0" w:firstColumn="1" w:lastColumn="0" w:noHBand="0" w:noVBand="1"/>
      </w:tblPr>
      <w:tblGrid>
        <w:gridCol w:w="3385"/>
        <w:gridCol w:w="3385"/>
        <w:gridCol w:w="3386"/>
      </w:tblGrid>
      <w:tr w:rsidR="00581660" w14:paraId="71F837D9" w14:textId="77777777">
        <w:trPr>
          <w:jc w:val="center"/>
        </w:trPr>
        <w:tc>
          <w:tcPr>
            <w:tcW w:w="3389" w:type="dxa"/>
            <w:shd w:val="clear" w:color="auto" w:fill="123D52"/>
            <w:vAlign w:val="center"/>
          </w:tcPr>
          <w:p w14:paraId="02A5707B" w14:textId="77777777" w:rsidR="00581660" w:rsidRDefault="00581660">
            <w:pPr>
              <w:jc w:val="center"/>
            </w:pPr>
          </w:p>
        </w:tc>
        <w:tc>
          <w:tcPr>
            <w:tcW w:w="3389" w:type="dxa"/>
            <w:shd w:val="clear" w:color="auto" w:fill="123D52"/>
            <w:vAlign w:val="center"/>
          </w:tcPr>
          <w:p w14:paraId="1FD8D71B" w14:textId="77777777" w:rsidR="00581660" w:rsidRDefault="00E25823">
            <w:pPr>
              <w:jc w:val="center"/>
            </w:pPr>
            <w:r>
              <w:rPr>
                <w:b/>
                <w:color w:val="FFFFFF"/>
                <w:sz w:val="19"/>
              </w:rPr>
              <w:t>Company A</w:t>
            </w:r>
          </w:p>
        </w:tc>
        <w:tc>
          <w:tcPr>
            <w:tcW w:w="3389" w:type="dxa"/>
            <w:shd w:val="clear" w:color="auto" w:fill="123D52"/>
            <w:vAlign w:val="center"/>
          </w:tcPr>
          <w:p w14:paraId="5CC0F808" w14:textId="77777777" w:rsidR="00581660" w:rsidRDefault="00E25823">
            <w:pPr>
              <w:jc w:val="center"/>
            </w:pPr>
            <w:r>
              <w:rPr>
                <w:b/>
                <w:color w:val="FFFFFF"/>
                <w:sz w:val="19"/>
              </w:rPr>
              <w:t>Company B</w:t>
            </w:r>
          </w:p>
        </w:tc>
      </w:tr>
      <w:tr w:rsidR="00581660" w14:paraId="6A90189E" w14:textId="77777777">
        <w:trPr>
          <w:jc w:val="center"/>
        </w:trPr>
        <w:tc>
          <w:tcPr>
            <w:tcW w:w="3389" w:type="dxa"/>
            <w:vAlign w:val="center"/>
          </w:tcPr>
          <w:p w14:paraId="5A838414" w14:textId="77777777" w:rsidR="00581660" w:rsidRDefault="00E25823">
            <w:r>
              <w:rPr>
                <w:b/>
                <w:color w:val="123D52"/>
                <w:sz w:val="18"/>
              </w:rPr>
              <w:t>Revenue mix</w:t>
            </w:r>
          </w:p>
        </w:tc>
        <w:tc>
          <w:tcPr>
            <w:tcW w:w="3389" w:type="dxa"/>
            <w:vAlign w:val="center"/>
          </w:tcPr>
          <w:p w14:paraId="026EE409" w14:textId="77777777" w:rsidR="00581660" w:rsidRDefault="00E25823">
            <w:r>
              <w:rPr>
                <w:sz w:val="18"/>
              </w:rPr>
              <w:t>Installation-heavy</w:t>
            </w:r>
          </w:p>
        </w:tc>
        <w:tc>
          <w:tcPr>
            <w:tcW w:w="3389" w:type="dxa"/>
            <w:vAlign w:val="center"/>
          </w:tcPr>
          <w:p w14:paraId="732EEEE7" w14:textId="77777777" w:rsidR="00581660" w:rsidRDefault="00E25823">
            <w:r>
              <w:rPr>
                <w:sz w:val="18"/>
              </w:rPr>
              <w:t>Balanced service, replacement and maintenance</w:t>
            </w:r>
          </w:p>
        </w:tc>
      </w:tr>
      <w:tr w:rsidR="00581660" w14:paraId="15A3DD66" w14:textId="77777777">
        <w:trPr>
          <w:jc w:val="center"/>
        </w:trPr>
        <w:tc>
          <w:tcPr>
            <w:tcW w:w="3389" w:type="dxa"/>
            <w:vAlign w:val="center"/>
          </w:tcPr>
          <w:p w14:paraId="350D4A2E" w14:textId="77777777" w:rsidR="00581660" w:rsidRDefault="00E25823">
            <w:r>
              <w:rPr>
                <w:b/>
                <w:color w:val="123D52"/>
                <w:sz w:val="18"/>
              </w:rPr>
              <w:t>Maintenance agreements</w:t>
            </w:r>
          </w:p>
        </w:tc>
        <w:tc>
          <w:tcPr>
            <w:tcW w:w="3389" w:type="dxa"/>
            <w:vAlign w:val="center"/>
          </w:tcPr>
          <w:p w14:paraId="59E385F3" w14:textId="77777777" w:rsidR="00581660" w:rsidRDefault="00E25823">
            <w:r>
              <w:rPr>
                <w:sz w:val="18"/>
              </w:rPr>
              <w:t>Limited or poorly tracked</w:t>
            </w:r>
          </w:p>
        </w:tc>
        <w:tc>
          <w:tcPr>
            <w:tcW w:w="3389" w:type="dxa"/>
            <w:vAlign w:val="center"/>
          </w:tcPr>
          <w:p w14:paraId="0896A0CF" w14:textId="77777777" w:rsidR="00581660" w:rsidRDefault="00E25823">
            <w:r>
              <w:rPr>
                <w:sz w:val="18"/>
              </w:rPr>
              <w:t>Large, documented and renewing base</w:t>
            </w:r>
          </w:p>
        </w:tc>
      </w:tr>
      <w:tr w:rsidR="00581660" w14:paraId="7CFACF41" w14:textId="77777777">
        <w:trPr>
          <w:jc w:val="center"/>
        </w:trPr>
        <w:tc>
          <w:tcPr>
            <w:tcW w:w="3389" w:type="dxa"/>
            <w:vAlign w:val="center"/>
          </w:tcPr>
          <w:p w14:paraId="4A714E5F" w14:textId="77777777" w:rsidR="00581660" w:rsidRDefault="00E25823">
            <w:r>
              <w:rPr>
                <w:b/>
                <w:color w:val="123D52"/>
                <w:sz w:val="18"/>
              </w:rPr>
              <w:t>Lead sources</w:t>
            </w:r>
          </w:p>
        </w:tc>
        <w:tc>
          <w:tcPr>
            <w:tcW w:w="3389" w:type="dxa"/>
            <w:vAlign w:val="center"/>
          </w:tcPr>
          <w:p w14:paraId="77D874D1" w14:textId="77777777" w:rsidR="00581660" w:rsidRDefault="00E25823">
            <w:r>
              <w:rPr>
                <w:sz w:val="18"/>
              </w:rPr>
              <w:t>Owner and one paid channel</w:t>
            </w:r>
          </w:p>
        </w:tc>
        <w:tc>
          <w:tcPr>
            <w:tcW w:w="3389" w:type="dxa"/>
            <w:vAlign w:val="center"/>
          </w:tcPr>
          <w:p w14:paraId="46065BC1" w14:textId="77777777" w:rsidR="00581660" w:rsidRDefault="00E25823">
            <w:r>
              <w:rPr>
                <w:sz w:val="18"/>
              </w:rPr>
              <w:t>Referrals, organic, agreements and diversified marketing</w:t>
            </w:r>
          </w:p>
        </w:tc>
      </w:tr>
      <w:tr w:rsidR="00581660" w14:paraId="721739A3" w14:textId="77777777">
        <w:trPr>
          <w:jc w:val="center"/>
        </w:trPr>
        <w:tc>
          <w:tcPr>
            <w:tcW w:w="3389" w:type="dxa"/>
            <w:vAlign w:val="center"/>
          </w:tcPr>
          <w:p w14:paraId="3CEDF024" w14:textId="77777777" w:rsidR="00581660" w:rsidRDefault="00E25823">
            <w:r>
              <w:rPr>
                <w:b/>
                <w:color w:val="123D52"/>
                <w:sz w:val="18"/>
              </w:rPr>
              <w:t>Technicians</w:t>
            </w:r>
          </w:p>
        </w:tc>
        <w:tc>
          <w:tcPr>
            <w:tcW w:w="3389" w:type="dxa"/>
            <w:vAlign w:val="center"/>
          </w:tcPr>
          <w:p w14:paraId="0F2274EA" w14:textId="77777777" w:rsidR="00581660" w:rsidRDefault="00E25823">
            <w:r>
              <w:rPr>
                <w:sz w:val="18"/>
              </w:rPr>
              <w:t>Owner-dependent team</w:t>
            </w:r>
          </w:p>
        </w:tc>
        <w:tc>
          <w:tcPr>
            <w:tcW w:w="3389" w:type="dxa"/>
            <w:vAlign w:val="center"/>
          </w:tcPr>
          <w:p w14:paraId="37EBF4B3" w14:textId="77777777" w:rsidR="00581660" w:rsidRDefault="00E25823">
            <w:r>
              <w:rPr>
                <w:sz w:val="18"/>
              </w:rPr>
              <w:t>Stable technicians with field leadership</w:t>
            </w:r>
          </w:p>
        </w:tc>
      </w:tr>
      <w:tr w:rsidR="00581660" w14:paraId="7AE1E72F" w14:textId="77777777">
        <w:trPr>
          <w:jc w:val="center"/>
        </w:trPr>
        <w:tc>
          <w:tcPr>
            <w:tcW w:w="3389" w:type="dxa"/>
            <w:vAlign w:val="center"/>
          </w:tcPr>
          <w:p w14:paraId="000B0E6A" w14:textId="77777777" w:rsidR="00581660" w:rsidRDefault="00E25823">
            <w:r>
              <w:rPr>
                <w:b/>
                <w:color w:val="123D52"/>
                <w:sz w:val="18"/>
              </w:rPr>
              <w:t>Margins</w:t>
            </w:r>
          </w:p>
        </w:tc>
        <w:tc>
          <w:tcPr>
            <w:tcW w:w="3389" w:type="dxa"/>
            <w:vAlign w:val="center"/>
          </w:tcPr>
          <w:p w14:paraId="4334B713" w14:textId="77777777" w:rsidR="00581660" w:rsidRDefault="00E25823">
            <w:r>
              <w:rPr>
                <w:sz w:val="18"/>
              </w:rPr>
              <w:t>Annual totals only</w:t>
            </w:r>
          </w:p>
        </w:tc>
        <w:tc>
          <w:tcPr>
            <w:tcW w:w="3389" w:type="dxa"/>
            <w:vAlign w:val="center"/>
          </w:tcPr>
          <w:p w14:paraId="58602114" w14:textId="77777777" w:rsidR="00581660" w:rsidRDefault="00E25823">
            <w:r>
              <w:rPr>
                <w:sz w:val="18"/>
              </w:rPr>
              <w:t>Visible by service line and job type</w:t>
            </w:r>
          </w:p>
        </w:tc>
      </w:tr>
      <w:tr w:rsidR="00581660" w14:paraId="6C859BA7" w14:textId="77777777">
        <w:trPr>
          <w:jc w:val="center"/>
        </w:trPr>
        <w:tc>
          <w:tcPr>
            <w:tcW w:w="3389" w:type="dxa"/>
            <w:vAlign w:val="center"/>
          </w:tcPr>
          <w:p w14:paraId="476EFDFE" w14:textId="77777777" w:rsidR="00581660" w:rsidRDefault="00E25823">
            <w:r>
              <w:rPr>
                <w:b/>
                <w:color w:val="123D52"/>
                <w:sz w:val="18"/>
              </w:rPr>
              <w:t>Customer base</w:t>
            </w:r>
          </w:p>
        </w:tc>
        <w:tc>
          <w:tcPr>
            <w:tcW w:w="3389" w:type="dxa"/>
            <w:vAlign w:val="center"/>
          </w:tcPr>
          <w:p w14:paraId="0812E64C" w14:textId="77777777" w:rsidR="00581660" w:rsidRDefault="00E25823">
            <w:r>
              <w:rPr>
                <w:sz w:val="18"/>
              </w:rPr>
              <w:t>Concentrated</w:t>
            </w:r>
          </w:p>
        </w:tc>
        <w:tc>
          <w:tcPr>
            <w:tcW w:w="3389" w:type="dxa"/>
            <w:vAlign w:val="center"/>
          </w:tcPr>
          <w:p w14:paraId="5819B019" w14:textId="77777777" w:rsidR="00581660" w:rsidRDefault="00E25823">
            <w:r>
              <w:rPr>
                <w:sz w:val="18"/>
              </w:rPr>
              <w:t>Diversified residential/commercial demand</w:t>
            </w:r>
          </w:p>
        </w:tc>
      </w:tr>
      <w:tr w:rsidR="00581660" w14:paraId="20025D9F" w14:textId="77777777">
        <w:trPr>
          <w:jc w:val="center"/>
        </w:trPr>
        <w:tc>
          <w:tcPr>
            <w:tcW w:w="3389" w:type="dxa"/>
            <w:vAlign w:val="center"/>
          </w:tcPr>
          <w:p w14:paraId="5CB13713" w14:textId="77777777" w:rsidR="00581660" w:rsidRDefault="00E25823">
            <w:r>
              <w:rPr>
                <w:b/>
                <w:color w:val="123D52"/>
                <w:sz w:val="18"/>
              </w:rPr>
              <w:t>Owner role</w:t>
            </w:r>
          </w:p>
        </w:tc>
        <w:tc>
          <w:tcPr>
            <w:tcW w:w="3389" w:type="dxa"/>
            <w:vAlign w:val="center"/>
          </w:tcPr>
          <w:p w14:paraId="159AB2D7" w14:textId="77777777" w:rsidR="00581660" w:rsidRDefault="00E25823">
            <w:r>
              <w:rPr>
                <w:sz w:val="18"/>
              </w:rPr>
              <w:t>Central to daily operations</w:t>
            </w:r>
          </w:p>
        </w:tc>
        <w:tc>
          <w:tcPr>
            <w:tcW w:w="3389" w:type="dxa"/>
            <w:vAlign w:val="center"/>
          </w:tcPr>
          <w:p w14:paraId="6ACB9AE6" w14:textId="77777777" w:rsidR="00581660" w:rsidRDefault="00E25823">
            <w:r>
              <w:rPr>
                <w:sz w:val="18"/>
              </w:rPr>
              <w:t>Management and systems carry the workload</w:t>
            </w:r>
          </w:p>
        </w:tc>
      </w:tr>
      <w:tr w:rsidR="00581660" w14:paraId="559DBA81" w14:textId="77777777">
        <w:trPr>
          <w:jc w:val="center"/>
        </w:trPr>
        <w:tc>
          <w:tcPr>
            <w:tcW w:w="3389" w:type="dxa"/>
            <w:vAlign w:val="center"/>
          </w:tcPr>
          <w:p w14:paraId="15CE5E2D" w14:textId="77777777" w:rsidR="00581660" w:rsidRDefault="00E25823">
            <w:r>
              <w:rPr>
                <w:b/>
                <w:color w:val="123D52"/>
                <w:sz w:val="18"/>
              </w:rPr>
              <w:t>Financials</w:t>
            </w:r>
          </w:p>
        </w:tc>
        <w:tc>
          <w:tcPr>
            <w:tcW w:w="3389" w:type="dxa"/>
            <w:vAlign w:val="center"/>
          </w:tcPr>
          <w:p w14:paraId="28FFADC7" w14:textId="77777777" w:rsidR="00581660" w:rsidRDefault="00E25823">
            <w:r>
              <w:rPr>
                <w:sz w:val="18"/>
              </w:rPr>
              <w:t>Tax-driven reporting</w:t>
            </w:r>
          </w:p>
        </w:tc>
        <w:tc>
          <w:tcPr>
            <w:tcW w:w="3389" w:type="dxa"/>
            <w:vAlign w:val="center"/>
          </w:tcPr>
          <w:p w14:paraId="73BA856E" w14:textId="77777777" w:rsidR="00581660" w:rsidRDefault="00E25823">
            <w:r>
              <w:rPr>
                <w:sz w:val="18"/>
              </w:rPr>
              <w:t>Clean normalized reporting</w:t>
            </w:r>
          </w:p>
        </w:tc>
      </w:tr>
    </w:tbl>
    <w:p w14:paraId="1F08D649" w14:textId="77777777" w:rsidR="00581660" w:rsidRDefault="00E25823">
      <w:r>
        <w:t>The companies may report similar revenue and SDE. Company B generally gives a buyer greater confidence that customers, employees and earnings will transfer after closing.</w:t>
      </w:r>
    </w:p>
    <w:p w14:paraId="311165D1" w14:textId="77777777" w:rsidR="00581660" w:rsidRDefault="00E25823">
      <w:r>
        <w:br w:type="page"/>
      </w:r>
    </w:p>
    <w:p w14:paraId="037BDEB8" w14:textId="77777777" w:rsidR="00581660" w:rsidRDefault="00E25823">
      <w:pPr>
        <w:pStyle w:val="Heading1"/>
      </w:pPr>
      <w:r>
        <w:lastRenderedPageBreak/>
        <w:t>12. How to Read the Florida Multiples</w:t>
      </w:r>
    </w:p>
    <w:p w14:paraId="421BD983" w14:textId="77777777" w:rsidR="00581660" w:rsidRDefault="00E25823">
      <w:r>
        <w:t>The 118 Florida transactions averaged 0.593x revenue and 3.184x discretionary earnings. Those are useful market anchors because they represent completed transactions, not asking prices.</w:t>
      </w:r>
    </w:p>
    <w:p w14:paraId="417457EC" w14:textId="77777777" w:rsidR="00581660" w:rsidRDefault="00E25823">
      <w:r>
        <w:t>But the average is exactly that: an average across many different companies. An HVAC business with strong recurring service, stable technicians, diversified customers, clean financials and limited owner dependence may present differently from one with the same SDE but greater transition risk.</w:t>
      </w:r>
    </w:p>
    <w:tbl>
      <w:tblPr>
        <w:tblW w:w="0" w:type="auto"/>
        <w:jc w:val="center"/>
        <w:tblLook w:val="04A0" w:firstRow="1" w:lastRow="0" w:firstColumn="1" w:lastColumn="0" w:noHBand="0" w:noVBand="1"/>
      </w:tblPr>
      <w:tblGrid>
        <w:gridCol w:w="10166"/>
      </w:tblGrid>
      <w:tr w:rsidR="00581660" w14:paraId="38C21207" w14:textId="77777777">
        <w:trPr>
          <w:jc w:val="center"/>
        </w:trPr>
        <w:tc>
          <w:tcPr>
            <w:tcW w:w="10166" w:type="dxa"/>
            <w:shd w:val="clear" w:color="auto" w:fill="EEF3F4"/>
          </w:tcPr>
          <w:p w14:paraId="275DD0B4" w14:textId="77777777" w:rsidR="00581660" w:rsidRDefault="00E25823">
            <w:r>
              <w:rPr>
                <w:b/>
                <w:color w:val="123D52"/>
                <w:sz w:val="22"/>
              </w:rPr>
              <w:t>The practical takeaway</w:t>
            </w:r>
          </w:p>
          <w:p w14:paraId="551C464E" w14:textId="77777777" w:rsidR="00581660" w:rsidRDefault="00E25823">
            <w:r>
              <w:rPr>
                <w:color w:val="243238"/>
              </w:rPr>
              <w:t>Start with the quality of the business, not the multiple. The more confidently a buyer can understand and retain the company's earnings after closing, the stronger the owner's position tends to be.</w:t>
            </w:r>
          </w:p>
        </w:tc>
      </w:tr>
    </w:tbl>
    <w:p w14:paraId="083A5B68" w14:textId="77777777" w:rsidR="00581660" w:rsidRDefault="00E25823">
      <w:pPr>
        <w:pStyle w:val="Heading1"/>
      </w:pPr>
      <w:r>
        <w:t>13. What an Owner Can Do Before a Sale Is on the Calendar</w:t>
      </w:r>
    </w:p>
    <w:p w14:paraId="41D1557C" w14:textId="77777777" w:rsidR="00581660" w:rsidRDefault="00E25823">
      <w:r>
        <w:rPr>
          <w:b/>
          <w:color w:val="123D52"/>
        </w:rPr>
        <w:t xml:space="preserve">Separate the revenue streams. </w:t>
      </w:r>
      <w:r>
        <w:t>Track service, maintenance, replacement, new construction and other major categories independently.</w:t>
      </w:r>
    </w:p>
    <w:p w14:paraId="16C95270" w14:textId="77777777" w:rsidR="00581660" w:rsidRDefault="00E25823">
      <w:r>
        <w:rPr>
          <w:b/>
          <w:color w:val="123D52"/>
        </w:rPr>
        <w:t xml:space="preserve">Measure the agreement base. </w:t>
      </w:r>
      <w:r>
        <w:t>Know agreement count, renewal rate, pricing, customer tenure and conversion into repair or replacement work.</w:t>
      </w:r>
    </w:p>
    <w:p w14:paraId="446C44BD" w14:textId="77777777" w:rsidR="00581660" w:rsidRDefault="00E25823">
      <w:r>
        <w:rPr>
          <w:b/>
          <w:color w:val="123D52"/>
        </w:rPr>
        <w:t xml:space="preserve">Track lead sources. </w:t>
      </w:r>
      <w:r>
        <w:t>Understand where sold jobs originate and the cost of acquiring those customers.</w:t>
      </w:r>
    </w:p>
    <w:p w14:paraId="0895ED64" w14:textId="77777777" w:rsidR="00581660" w:rsidRDefault="00E25823">
      <w:r>
        <w:rPr>
          <w:b/>
          <w:color w:val="123D52"/>
        </w:rPr>
        <w:t xml:space="preserve">Know technician productivity. </w:t>
      </w:r>
      <w:r>
        <w:t>Measure revenue, callbacks, completed calls and other useful operating metrics by technician or team.</w:t>
      </w:r>
    </w:p>
    <w:p w14:paraId="7AC0C9ED" w14:textId="77777777" w:rsidR="00581660" w:rsidRDefault="00E25823">
      <w:r>
        <w:rPr>
          <w:b/>
          <w:color w:val="123D52"/>
        </w:rPr>
        <w:t xml:space="preserve">Build management depth. </w:t>
      </w:r>
      <w:r>
        <w:t>Dispatch, scheduling, field supervision and customer resolution should not depend entirely on the owner.</w:t>
      </w:r>
    </w:p>
    <w:p w14:paraId="510F7691" w14:textId="77777777" w:rsidR="00581660" w:rsidRDefault="00E25823">
      <w:r>
        <w:rPr>
          <w:b/>
          <w:color w:val="123D52"/>
        </w:rPr>
        <w:t xml:space="preserve">Protect key employees. </w:t>
      </w:r>
      <w:r>
        <w:t>Identify the technicians, comfort advisors, dispatchers and managers whose retention matters most.</w:t>
      </w:r>
    </w:p>
    <w:p w14:paraId="5944810D" w14:textId="77777777" w:rsidR="00581660" w:rsidRDefault="00E25823">
      <w:r>
        <w:rPr>
          <w:b/>
          <w:color w:val="123D52"/>
        </w:rPr>
        <w:t xml:space="preserve">Reduce concentration. </w:t>
      </w:r>
      <w:r>
        <w:t>Broaden customer, builder, GC and referral relationships where practical.</w:t>
      </w:r>
    </w:p>
    <w:p w14:paraId="3417AA89" w14:textId="77777777" w:rsidR="00581660" w:rsidRDefault="00E25823">
      <w:r>
        <w:rPr>
          <w:b/>
          <w:color w:val="123D52"/>
        </w:rPr>
        <w:t xml:space="preserve">Improve job costing. </w:t>
      </w:r>
      <w:r>
        <w:t>Make estimated-versus-actual margins visible by service line and project type.</w:t>
      </w:r>
    </w:p>
    <w:p w14:paraId="0AF6294F" w14:textId="77777777" w:rsidR="00581660" w:rsidRDefault="00E25823">
      <w:r>
        <w:rPr>
          <w:b/>
          <w:color w:val="123D52"/>
        </w:rPr>
        <w:t xml:space="preserve">Keep the financials clean. </w:t>
      </w:r>
      <w:r>
        <w:t>Document owner adjustments and make normalized earnings easy for an outside party to understand.</w:t>
      </w:r>
    </w:p>
    <w:p w14:paraId="209B5F84" w14:textId="77777777" w:rsidR="00581660" w:rsidRDefault="00E25823">
      <w:r>
        <w:rPr>
          <w:b/>
          <w:color w:val="123D52"/>
        </w:rPr>
        <w:t xml:space="preserve">Plan before you need to. </w:t>
      </w:r>
      <w:r>
        <w:t>The Florida transactions reviewed averaged 296 days on market. Preparation gives the owner more control over timing and outcomes.</w:t>
      </w:r>
    </w:p>
    <w:p w14:paraId="03AC1E0D" w14:textId="77777777" w:rsidR="00581660" w:rsidRDefault="00E25823">
      <w:pPr>
        <w:pStyle w:val="Heading1"/>
      </w:pPr>
      <w:r>
        <w:t>14. Questions Worth Asking Yourself</w:t>
      </w:r>
    </w:p>
    <w:p w14:paraId="7D099D0E" w14:textId="77777777" w:rsidR="00581660" w:rsidRDefault="00E25823">
      <w:pPr>
        <w:pStyle w:val="ListBullet"/>
      </w:pPr>
      <w:r>
        <w:t>If I stepped away for 60 days, which parts of the company would slow down or stop?</w:t>
      </w:r>
    </w:p>
    <w:p w14:paraId="74DB1519" w14:textId="77777777" w:rsidR="00581660" w:rsidRDefault="00E25823">
      <w:pPr>
        <w:pStyle w:val="ListBullet"/>
      </w:pPr>
      <w:r>
        <w:t>How much of next year's revenue is already connected to existing customers and maintenance agreements?</w:t>
      </w:r>
    </w:p>
    <w:p w14:paraId="13C55965" w14:textId="77777777" w:rsidR="00581660" w:rsidRDefault="00E25823">
      <w:pPr>
        <w:pStyle w:val="ListBullet"/>
      </w:pPr>
      <w:r>
        <w:t>What percentage of gross profit comes from service, maintenance, replacement and new construction?</w:t>
      </w:r>
    </w:p>
    <w:p w14:paraId="15032E2B" w14:textId="77777777" w:rsidR="00581660" w:rsidRDefault="00E25823">
      <w:pPr>
        <w:pStyle w:val="ListBullet"/>
      </w:pPr>
      <w:r>
        <w:t>Which technicians or managers are most important to the company's ability to operate without me?</w:t>
      </w:r>
    </w:p>
    <w:p w14:paraId="360EDD1F" w14:textId="77777777" w:rsidR="00581660" w:rsidRDefault="00E25823">
      <w:pPr>
        <w:pStyle w:val="ListBullet"/>
      </w:pPr>
      <w:r>
        <w:t>How dependent are we on one lead source, builder, GC or commercial customer?</w:t>
      </w:r>
    </w:p>
    <w:p w14:paraId="7345BC42" w14:textId="77777777" w:rsidR="00581660" w:rsidRDefault="00E25823">
      <w:pPr>
        <w:pStyle w:val="ListBullet"/>
      </w:pPr>
      <w:r>
        <w:t>Can I explain why our margins improved or declined by service line?</w:t>
      </w:r>
    </w:p>
    <w:p w14:paraId="5554338D" w14:textId="77777777" w:rsidR="00581660" w:rsidRDefault="00E25823">
      <w:pPr>
        <w:pStyle w:val="ListBullet"/>
      </w:pPr>
      <w:r>
        <w:t>Would a buyer see our customer relationships and operating systems as belonging to the company or to me personally?</w:t>
      </w:r>
    </w:p>
    <w:p w14:paraId="1A4A8091" w14:textId="77777777" w:rsidR="00581660" w:rsidRDefault="00E25823">
      <w:pPr>
        <w:pStyle w:val="ListBullet"/>
      </w:pPr>
      <w:r>
        <w:t>If I wanted the option to sell in three years, what would I wish I had started fixing today?</w:t>
      </w:r>
    </w:p>
    <w:p w14:paraId="3732F412" w14:textId="77777777" w:rsidR="00581660" w:rsidRDefault="00E25823">
      <w:pPr>
        <w:pStyle w:val="Heading1"/>
      </w:pPr>
      <w:r>
        <w:lastRenderedPageBreak/>
        <w:t>Bottom Line</w:t>
      </w:r>
    </w:p>
    <w:p w14:paraId="38CA35A0" w14:textId="77777777" w:rsidR="00581660" w:rsidRDefault="00E25823">
      <w:r>
        <w:t>HVAC is an essential service business with strong structural demand in Florida. The industry benefits from a large installed base of equipment, ongoing repair and replacement needs, population growth and a climate where reliable cooling is fundamental to homes and businesses.</w:t>
      </w:r>
    </w:p>
    <w:p w14:paraId="407801DC" w14:textId="77777777" w:rsidR="00581660" w:rsidRDefault="00E25823">
      <w:r>
        <w:t>The 118 completed Florida transactions show an active market for owner-operated HVAC companies. The average transaction sold for approximately 3.18x discretionary earnings, but the number that matters for any individual owner depends on the quality, durability and transferability of that company's earnings.</w:t>
      </w:r>
    </w:p>
    <w:p w14:paraId="56EC1A61" w14:textId="77777777" w:rsidR="00581660" w:rsidRDefault="00E25823">
      <w:r>
        <w:rPr>
          <w:b/>
          <w:color w:val="123D52"/>
        </w:rPr>
        <w:t xml:space="preserve">A strong HVAC company gives its owner choices. </w:t>
      </w:r>
      <w:r>
        <w:t>Recurring customer relationships, productive technicians, disciplined pricing, diversified demand, clean financials and less owner dependence can make the business easier to operate today and easier to transition someday.</w:t>
      </w:r>
    </w:p>
    <w:p w14:paraId="3ABCE3B0" w14:textId="77777777" w:rsidR="00581660" w:rsidRDefault="00E25823">
      <w:pPr>
        <w:pStyle w:val="Heading1"/>
      </w:pPr>
      <w:r>
        <w:t>About Todd Topliff</w:t>
      </w:r>
    </w:p>
    <w:p w14:paraId="7B77B8B7" w14:textId="77777777" w:rsidR="00581660" w:rsidRDefault="00E25823">
      <w:r>
        <w:t>Todd Topliff is a Business Broker and Transaction Advisor with Corporate Investment Business Brokers. He works with established owner-operated businesses throughout Florida, helping owners understand value, prepare for eventual transitions and navigate confidential business sales.</w:t>
      </w:r>
    </w:p>
    <w:p w14:paraId="3AF64642" w14:textId="77777777" w:rsidR="00581660" w:rsidRDefault="00E25823">
      <w:r>
        <w:rPr>
          <w:b/>
        </w:rPr>
        <w:t>Confidential conversations are always welcome.</w:t>
      </w:r>
    </w:p>
    <w:p w14:paraId="14F21C88" w14:textId="77777777" w:rsidR="00581660" w:rsidRDefault="00E25823">
      <w:pPr>
        <w:pStyle w:val="Heading1"/>
      </w:pPr>
      <w:r>
        <w:t>Sources &amp; Important Notes</w:t>
      </w:r>
    </w:p>
    <w:p w14:paraId="273D5CFB" w14:textId="77777777" w:rsidR="00581660" w:rsidRDefault="00E25823">
      <w:pPr>
        <w:pStyle w:val="ListBullet"/>
      </w:pPr>
      <w:r>
        <w:t>Business Brokers of Florida transaction data supplied by Todd Topliff: 118 completed Florida HVAC contractor transactions and associated averages/ratios.</w:t>
      </w:r>
    </w:p>
    <w:p w14:paraId="7824DF46" w14:textId="77777777" w:rsidR="00581660" w:rsidRDefault="00E25823">
      <w:pPr>
        <w:pStyle w:val="ListBullet"/>
      </w:pPr>
      <w:r>
        <w:t>Vertical IQ, HVAC &amp; Plumbing Contractors, NAICS 238220, prepared August 18, 2025.</w:t>
      </w:r>
    </w:p>
    <w:p w14:paraId="39967552" w14:textId="77777777" w:rsidR="00581660" w:rsidRDefault="00E25823">
      <w:pPr>
        <w:pStyle w:val="ListBullet"/>
      </w:pPr>
      <w:r>
        <w:t>IBISWorld, Heating &amp; Air-Conditioning Contractors in the US, October 2024.</w:t>
      </w:r>
    </w:p>
    <w:p w14:paraId="5C1F8C0D" w14:textId="77777777" w:rsidR="00581660" w:rsidRDefault="00E25823">
      <w:pPr>
        <w:pStyle w:val="ListBullet"/>
      </w:pPr>
      <w:r>
        <w:t>Industry financial and operating benchmarks are broad references and are not company-specific targets.</w:t>
      </w:r>
    </w:p>
    <w:p w14:paraId="414CB094" w14:textId="77777777" w:rsidR="00581660" w:rsidRDefault="00E25823">
      <w:r>
        <w:rPr>
          <w:b/>
        </w:rPr>
        <w:t xml:space="preserve">Important: </w:t>
      </w:r>
      <w:r>
        <w:t>This market brief is general educational information. Transaction averages and industry benchmarks are not a valuation of any specific company and should not be applied mechanically. A company-specific analysis requires review of financial performance, revenue mix, maintenance agreements, customer concentration, workforce, owner involvement, assets, liabilities and other transaction-specific factors.</w:t>
      </w:r>
    </w:p>
    <w:sectPr w:rsidR="00581660" w:rsidSect="00034616">
      <w:headerReference w:type="default" r:id="rId8"/>
      <w:footerReference w:type="default" r:id="rId9"/>
      <w:pgSz w:w="12240" w:h="15840"/>
      <w:pgMar w:top="936" w:right="1037" w:bottom="936"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45E1A" w14:textId="77777777" w:rsidR="00E25823" w:rsidRDefault="00E25823">
      <w:pPr>
        <w:spacing w:after="0" w:line="240" w:lineRule="auto"/>
      </w:pPr>
      <w:r>
        <w:separator/>
      </w:r>
    </w:p>
  </w:endnote>
  <w:endnote w:type="continuationSeparator" w:id="0">
    <w:p w14:paraId="1327B63A" w14:textId="77777777" w:rsidR="00E25823" w:rsidRDefault="00E25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E6A33" w14:textId="77777777" w:rsidR="00581660" w:rsidRDefault="00E25823">
    <w:pPr>
      <w:pStyle w:val="Footer"/>
      <w:jc w:val="center"/>
    </w:pPr>
    <w:r>
      <w:rPr>
        <w:color w:val="666666"/>
        <w:sz w:val="16"/>
      </w:rPr>
      <w:t>Florida HVAC Contractor Market Brief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6CD00" w14:textId="77777777" w:rsidR="00E25823" w:rsidRDefault="00E25823">
      <w:pPr>
        <w:spacing w:after="0" w:line="240" w:lineRule="auto"/>
      </w:pPr>
      <w:r>
        <w:separator/>
      </w:r>
    </w:p>
  </w:footnote>
  <w:footnote w:type="continuationSeparator" w:id="0">
    <w:p w14:paraId="51B2D500" w14:textId="77777777" w:rsidR="00E25823" w:rsidRDefault="00E258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C4DFE" w14:textId="77777777" w:rsidR="00581660" w:rsidRDefault="00E25823">
    <w:pPr>
      <w:pStyle w:val="Header"/>
      <w:jc w:val="right"/>
    </w:pPr>
    <w:r>
      <w:rPr>
        <w:color w:val="666666"/>
        <w:sz w:val="16"/>
      </w:rPr>
      <w:t xml:space="preserve">TODD </w:t>
    </w:r>
    <w:proofErr w:type="gramStart"/>
    <w:r>
      <w:rPr>
        <w:color w:val="666666"/>
        <w:sz w:val="16"/>
      </w:rPr>
      <w:t>TOPLIFF  |</w:t>
    </w:r>
    <w:proofErr w:type="gramEnd"/>
    <w:r>
      <w:rPr>
        <w:color w:val="666666"/>
        <w:sz w:val="16"/>
      </w:rPr>
      <w:t xml:space="preserve">  BUSINESS BROKER &amp; TRANSACTION ADVISOR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76203145">
    <w:abstractNumId w:val="8"/>
  </w:num>
  <w:num w:numId="2" w16cid:durableId="349844076">
    <w:abstractNumId w:val="6"/>
  </w:num>
  <w:num w:numId="3" w16cid:durableId="1772891399">
    <w:abstractNumId w:val="5"/>
  </w:num>
  <w:num w:numId="4" w16cid:durableId="1039236618">
    <w:abstractNumId w:val="4"/>
  </w:num>
  <w:num w:numId="5" w16cid:durableId="758984299">
    <w:abstractNumId w:val="7"/>
  </w:num>
  <w:num w:numId="6" w16cid:durableId="1333876681">
    <w:abstractNumId w:val="3"/>
  </w:num>
  <w:num w:numId="7" w16cid:durableId="593561484">
    <w:abstractNumId w:val="2"/>
  </w:num>
  <w:num w:numId="8" w16cid:durableId="1745755309">
    <w:abstractNumId w:val="1"/>
  </w:num>
  <w:num w:numId="9" w16cid:durableId="126310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81660"/>
    <w:rsid w:val="009D401B"/>
    <w:rsid w:val="00A56A55"/>
    <w:rsid w:val="00AA1D8D"/>
    <w:rsid w:val="00B47730"/>
    <w:rsid w:val="00CB0664"/>
    <w:rsid w:val="00E2582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34A983"/>
  <w14:defaultImageDpi w14:val="300"/>
  <w15:docId w15:val="{75129E3C-55F4-4B73-9E9C-A6AE3691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280"/>
      <w:outlineLvl w:val="0"/>
    </w:pPr>
    <w:rPr>
      <w:rFonts w:asciiTheme="majorHAnsi" w:eastAsiaTheme="majorEastAsia" w:hAnsiTheme="majorHAnsi" w:cstheme="majorBidi"/>
      <w:b/>
      <w:bCs/>
      <w:color w:val="123D52"/>
      <w:sz w:val="34"/>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1F2F2A"/>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E05C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23D52"/>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2582</Words>
  <Characters>14724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Todd  Topliff</cp:lastModifiedBy>
  <cp:revision>2</cp:revision>
  <dcterms:created xsi:type="dcterms:W3CDTF">2026-08-13T12:52:00Z</dcterms:created>
  <dcterms:modified xsi:type="dcterms:W3CDTF">2026-08-13T12:52:00Z</dcterms:modified>
  <cp:category/>
</cp:coreProperties>
</file>