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A9DF4" w14:textId="77777777" w:rsidR="007A21BA" w:rsidRDefault="0089099D">
      <w:pPr>
        <w:pStyle w:val="Title"/>
      </w:pPr>
      <w:r>
        <w:t>Florida Roofing Contractor</w:t>
      </w:r>
      <w:r>
        <w:br/>
        <w:t>Market Brief</w:t>
      </w:r>
    </w:p>
    <w:p w14:paraId="771A5189" w14:textId="77777777" w:rsidR="007A21BA" w:rsidRDefault="0089099D">
      <w:r>
        <w:rPr>
          <w:b/>
          <w:color w:val="E05C2A"/>
          <w:sz w:val="27"/>
        </w:rPr>
        <w:t>Market Conditions, Buyer Trends &amp; Business Sale Benchmarks</w:t>
      </w:r>
    </w:p>
    <w:p w14:paraId="47B6E1F1" w14:textId="77777777" w:rsidR="007A21BA" w:rsidRDefault="0089099D">
      <w:r>
        <w:rPr>
          <w:b/>
          <w:color w:val="1F2F2A"/>
          <w:sz w:val="24"/>
        </w:rPr>
        <w:t>2026 Edition</w:t>
      </w:r>
    </w:p>
    <w:p w14:paraId="4E06A70D" w14:textId="77777777" w:rsidR="007A21BA" w:rsidRDefault="007A21BA">
      <w:pPr>
        <w:pBdr>
          <w:bottom w:val="single" w:sz="18" w:space="1" w:color="A7CFCB"/>
        </w:pBdr>
        <w:spacing w:after="160"/>
      </w:pPr>
    </w:p>
    <w:tbl>
      <w:tblPr>
        <w:tblW w:w="0" w:type="auto"/>
        <w:jc w:val="center"/>
        <w:tblLook w:val="04A0" w:firstRow="1" w:lastRow="0" w:firstColumn="1" w:lastColumn="0" w:noHBand="0" w:noVBand="1"/>
      </w:tblPr>
      <w:tblGrid>
        <w:gridCol w:w="3388"/>
        <w:gridCol w:w="3389"/>
        <w:gridCol w:w="3389"/>
      </w:tblGrid>
      <w:tr w:rsidR="007A21BA" w14:paraId="5DE270AA" w14:textId="77777777">
        <w:trPr>
          <w:jc w:val="center"/>
        </w:trPr>
        <w:tc>
          <w:tcPr>
            <w:tcW w:w="3389" w:type="dxa"/>
            <w:shd w:val="clear" w:color="auto" w:fill="F7F3EA"/>
          </w:tcPr>
          <w:p w14:paraId="70438904" w14:textId="77777777" w:rsidR="007A21BA" w:rsidRDefault="0089099D">
            <w:pPr>
              <w:jc w:val="center"/>
            </w:pPr>
            <w:r>
              <w:rPr>
                <w:b/>
                <w:color w:val="123D52"/>
                <w:sz w:val="40"/>
              </w:rPr>
              <w:t>42</w:t>
            </w:r>
          </w:p>
          <w:p w14:paraId="69EC62D9" w14:textId="77777777" w:rsidR="007A21BA" w:rsidRDefault="0089099D">
            <w:pPr>
              <w:jc w:val="center"/>
            </w:pPr>
            <w:r>
              <w:rPr>
                <w:color w:val="666666"/>
                <w:sz w:val="17"/>
              </w:rPr>
              <w:t>Florida transactions analyzed</w:t>
            </w:r>
          </w:p>
        </w:tc>
        <w:tc>
          <w:tcPr>
            <w:tcW w:w="3389" w:type="dxa"/>
            <w:shd w:val="clear" w:color="auto" w:fill="F7F3EA"/>
          </w:tcPr>
          <w:p w14:paraId="2C991D8A" w14:textId="77777777" w:rsidR="007A21BA" w:rsidRDefault="0089099D">
            <w:pPr>
              <w:jc w:val="center"/>
            </w:pPr>
            <w:r>
              <w:rPr>
                <w:b/>
                <w:color w:val="123D52"/>
                <w:sz w:val="40"/>
              </w:rPr>
              <w:t>$3.90M</w:t>
            </w:r>
          </w:p>
          <w:p w14:paraId="090EF088" w14:textId="77777777" w:rsidR="007A21BA" w:rsidRDefault="0089099D">
            <w:pPr>
              <w:jc w:val="center"/>
            </w:pPr>
            <w:r>
              <w:rPr>
                <w:color w:val="666666"/>
                <w:sz w:val="17"/>
              </w:rPr>
              <w:t>Average sold price</w:t>
            </w:r>
          </w:p>
        </w:tc>
        <w:tc>
          <w:tcPr>
            <w:tcW w:w="3389" w:type="dxa"/>
            <w:shd w:val="clear" w:color="auto" w:fill="F7F3EA"/>
          </w:tcPr>
          <w:p w14:paraId="1D2E4A21" w14:textId="77777777" w:rsidR="007A21BA" w:rsidRDefault="0089099D">
            <w:pPr>
              <w:jc w:val="center"/>
            </w:pPr>
            <w:r>
              <w:rPr>
                <w:b/>
                <w:color w:val="123D52"/>
                <w:sz w:val="40"/>
              </w:rPr>
              <w:t>2.97x</w:t>
            </w:r>
          </w:p>
          <w:p w14:paraId="13DE9AB9" w14:textId="77777777" w:rsidR="007A21BA" w:rsidRDefault="0089099D">
            <w:pPr>
              <w:jc w:val="center"/>
            </w:pPr>
            <w:r>
              <w:rPr>
                <w:color w:val="666666"/>
                <w:sz w:val="17"/>
              </w:rPr>
              <w:t>Average sold price / SDE</w:t>
            </w:r>
          </w:p>
        </w:tc>
      </w:tr>
    </w:tbl>
    <w:p w14:paraId="53091235" w14:textId="77777777" w:rsidR="007A21BA" w:rsidRDefault="007A21BA"/>
    <w:p w14:paraId="1E0C5D0A" w14:textId="77777777" w:rsidR="007A21BA" w:rsidRDefault="0089099D">
      <w:r>
        <w:rPr>
          <w:b/>
          <w:sz w:val="24"/>
        </w:rPr>
        <w:t>Prepared by Todd Topliff</w:t>
      </w:r>
    </w:p>
    <w:p w14:paraId="5B59FDAE" w14:textId="77777777" w:rsidR="007A21BA" w:rsidRDefault="0089099D">
      <w:r>
        <w:t>Business Broker &amp; Transaction Advisor</w:t>
      </w:r>
      <w:r>
        <w:br/>
        <w:t>Corporate Investment Business Brokers</w:t>
      </w:r>
    </w:p>
    <w:p w14:paraId="2665ED21" w14:textId="77777777" w:rsidR="007A21BA" w:rsidRDefault="0089099D">
      <w:r>
        <w:t>For established owner-operated roofing businesses throughout Florida.</w:t>
      </w:r>
    </w:p>
    <w:p w14:paraId="2F46DA90" w14:textId="77777777" w:rsidR="007A21BA" w:rsidRDefault="0089099D">
      <w:r>
        <w:rPr>
          <w:b/>
        </w:rPr>
        <w:t xml:space="preserve">Source note: </w:t>
      </w:r>
      <w:r>
        <w:t>This brief combines 42 completed Florida roofing-contractor transactions with industry research from Vertical IQ's Roofing and Siding Contractors report, prepared August 18, 2025. Roofing-specific information is emphasized throughout.</w:t>
      </w:r>
    </w:p>
    <w:p w14:paraId="4C3B9C68" w14:textId="77777777" w:rsidR="007A21BA" w:rsidRDefault="0089099D">
      <w:r>
        <w:br w:type="page"/>
      </w:r>
    </w:p>
    <w:p w14:paraId="25EC104F" w14:textId="77777777" w:rsidR="007A21BA" w:rsidRDefault="0089099D">
      <w:pPr>
        <w:pStyle w:val="Heading1"/>
      </w:pPr>
      <w:r>
        <w:lastRenderedPageBreak/>
        <w:t>Why This Brief Matters</w:t>
      </w:r>
    </w:p>
    <w:p w14:paraId="6C3A67F6" w14:textId="77777777" w:rsidR="007A21BA" w:rsidRDefault="0089099D">
      <w:r>
        <w:t>If you own an established roofing company in Florida, the business in front of you probably matters more than the idea of selling it someday. You are managing crews, estimates, material costs, insurance, schedules, referrals, permits, storms, customer expectations and cash flow.</w:t>
      </w:r>
    </w:p>
    <w:p w14:paraId="17B32A3A" w14:textId="77777777" w:rsidR="007A21BA" w:rsidRDefault="0089099D">
      <w:r>
        <w:t>Those same issues also shape how a buyer evaluates the company. A roofing contractor with strong margins, a dependable workforce, diversified lead sources, good job costing and limited owner dependence can be very different from another contractor with the same revenue.</w:t>
      </w:r>
    </w:p>
    <w:tbl>
      <w:tblPr>
        <w:tblW w:w="0" w:type="auto"/>
        <w:jc w:val="center"/>
        <w:tblLook w:val="04A0" w:firstRow="1" w:lastRow="0" w:firstColumn="1" w:lastColumn="0" w:noHBand="0" w:noVBand="1"/>
      </w:tblPr>
      <w:tblGrid>
        <w:gridCol w:w="10166"/>
      </w:tblGrid>
      <w:tr w:rsidR="007A21BA" w14:paraId="2A87A81D" w14:textId="77777777">
        <w:trPr>
          <w:jc w:val="center"/>
        </w:trPr>
        <w:tc>
          <w:tcPr>
            <w:tcW w:w="10166" w:type="dxa"/>
            <w:shd w:val="clear" w:color="auto" w:fill="EEF3F4"/>
          </w:tcPr>
          <w:p w14:paraId="4F67AF3D" w14:textId="77777777" w:rsidR="007A21BA" w:rsidRDefault="0089099D">
            <w:r>
              <w:rPr>
                <w:b/>
                <w:color w:val="123D52"/>
                <w:sz w:val="22"/>
              </w:rPr>
              <w:t>The owner's objective</w:t>
            </w:r>
          </w:p>
          <w:p w14:paraId="57BA8B87" w14:textId="77777777" w:rsidR="007A21BA" w:rsidRDefault="0089099D">
            <w:r>
              <w:rPr>
                <w:color w:val="243238"/>
              </w:rPr>
              <w:t>The goal does not have to be selling today. It is understanding what has been built, where risk sits, and what can be improved now to create more options later.</w:t>
            </w:r>
          </w:p>
        </w:tc>
      </w:tr>
    </w:tbl>
    <w:p w14:paraId="314933DB" w14:textId="77777777" w:rsidR="007A21BA" w:rsidRDefault="0089099D">
      <w:pPr>
        <w:pStyle w:val="Heading1"/>
      </w:pPr>
      <w:r>
        <w:t>1. What Florida Roofing Contractors Have Actually Sold For</w:t>
      </w:r>
    </w:p>
    <w:p w14:paraId="605731CC" w14:textId="77777777" w:rsidR="007A21BA" w:rsidRDefault="0089099D">
      <w:r>
        <w:t>A review of 42 completed Florida roofing contractor transactions provides a practical market benchmark. The companies span different sizes, geographies, customer mixes and operating models, so the averages should not be applied mechanically to any one business.</w:t>
      </w:r>
    </w:p>
    <w:tbl>
      <w:tblPr>
        <w:tblStyle w:val="TableGrid"/>
        <w:tblW w:w="0" w:type="auto"/>
        <w:jc w:val="center"/>
        <w:tblLook w:val="04A0" w:firstRow="1" w:lastRow="0" w:firstColumn="1" w:lastColumn="0" w:noHBand="0" w:noVBand="1"/>
      </w:tblPr>
      <w:tblGrid>
        <w:gridCol w:w="5078"/>
        <w:gridCol w:w="5078"/>
      </w:tblGrid>
      <w:tr w:rsidR="007A21BA" w14:paraId="0EF065F9" w14:textId="77777777">
        <w:trPr>
          <w:jc w:val="center"/>
        </w:trPr>
        <w:tc>
          <w:tcPr>
            <w:tcW w:w="5083" w:type="dxa"/>
            <w:shd w:val="clear" w:color="auto" w:fill="123D52"/>
            <w:vAlign w:val="center"/>
          </w:tcPr>
          <w:p w14:paraId="0C1E45C4" w14:textId="77777777" w:rsidR="007A21BA" w:rsidRDefault="0089099D">
            <w:r>
              <w:rPr>
                <w:b/>
                <w:color w:val="FFFFFF"/>
              </w:rPr>
              <w:t>Florida Transaction Metric</w:t>
            </w:r>
          </w:p>
        </w:tc>
        <w:tc>
          <w:tcPr>
            <w:tcW w:w="5083" w:type="dxa"/>
            <w:shd w:val="clear" w:color="auto" w:fill="123D52"/>
            <w:vAlign w:val="center"/>
          </w:tcPr>
          <w:p w14:paraId="00671DD7" w14:textId="77777777" w:rsidR="007A21BA" w:rsidRDefault="0089099D">
            <w:pPr>
              <w:jc w:val="right"/>
            </w:pPr>
            <w:r>
              <w:rPr>
                <w:b/>
                <w:color w:val="FFFFFF"/>
              </w:rPr>
              <w:t>Average</w:t>
            </w:r>
          </w:p>
        </w:tc>
      </w:tr>
      <w:tr w:rsidR="007A21BA" w14:paraId="0DC90232" w14:textId="77777777">
        <w:trPr>
          <w:jc w:val="center"/>
        </w:trPr>
        <w:tc>
          <w:tcPr>
            <w:tcW w:w="5083" w:type="dxa"/>
            <w:vAlign w:val="center"/>
          </w:tcPr>
          <w:p w14:paraId="3784C306" w14:textId="77777777" w:rsidR="007A21BA" w:rsidRDefault="0089099D">
            <w:r>
              <w:rPr>
                <w:sz w:val="18"/>
              </w:rPr>
              <w:t>Completed transactions</w:t>
            </w:r>
          </w:p>
        </w:tc>
        <w:tc>
          <w:tcPr>
            <w:tcW w:w="5083" w:type="dxa"/>
            <w:vAlign w:val="center"/>
          </w:tcPr>
          <w:p w14:paraId="7B3A7C8C" w14:textId="77777777" w:rsidR="007A21BA" w:rsidRDefault="0089099D">
            <w:pPr>
              <w:jc w:val="right"/>
            </w:pPr>
            <w:r>
              <w:rPr>
                <w:b/>
                <w:color w:val="123D52"/>
                <w:sz w:val="19"/>
              </w:rPr>
              <w:t>42</w:t>
            </w:r>
          </w:p>
        </w:tc>
      </w:tr>
      <w:tr w:rsidR="007A21BA" w14:paraId="40FB55AA" w14:textId="77777777">
        <w:trPr>
          <w:jc w:val="center"/>
        </w:trPr>
        <w:tc>
          <w:tcPr>
            <w:tcW w:w="5083" w:type="dxa"/>
            <w:vAlign w:val="center"/>
          </w:tcPr>
          <w:p w14:paraId="7365EB0A" w14:textId="77777777" w:rsidR="007A21BA" w:rsidRDefault="0089099D">
            <w:r>
              <w:rPr>
                <w:sz w:val="18"/>
              </w:rPr>
              <w:t>Average annual sales</w:t>
            </w:r>
          </w:p>
        </w:tc>
        <w:tc>
          <w:tcPr>
            <w:tcW w:w="5083" w:type="dxa"/>
            <w:vAlign w:val="center"/>
          </w:tcPr>
          <w:p w14:paraId="27F6C549" w14:textId="77777777" w:rsidR="007A21BA" w:rsidRDefault="0089099D">
            <w:pPr>
              <w:jc w:val="right"/>
            </w:pPr>
            <w:r>
              <w:rPr>
                <w:b/>
                <w:color w:val="123D52"/>
                <w:sz w:val="19"/>
              </w:rPr>
              <w:t>$6,229,986</w:t>
            </w:r>
          </w:p>
        </w:tc>
      </w:tr>
      <w:tr w:rsidR="007A21BA" w14:paraId="1CA214FD" w14:textId="77777777">
        <w:trPr>
          <w:jc w:val="center"/>
        </w:trPr>
        <w:tc>
          <w:tcPr>
            <w:tcW w:w="5083" w:type="dxa"/>
            <w:vAlign w:val="center"/>
          </w:tcPr>
          <w:p w14:paraId="051233ED" w14:textId="77777777" w:rsidR="007A21BA" w:rsidRDefault="0089099D">
            <w:r>
              <w:rPr>
                <w:sz w:val="18"/>
              </w:rPr>
              <w:t>Average sold price</w:t>
            </w:r>
          </w:p>
        </w:tc>
        <w:tc>
          <w:tcPr>
            <w:tcW w:w="5083" w:type="dxa"/>
            <w:vAlign w:val="center"/>
          </w:tcPr>
          <w:p w14:paraId="265EC46B" w14:textId="77777777" w:rsidR="007A21BA" w:rsidRDefault="0089099D">
            <w:pPr>
              <w:jc w:val="right"/>
            </w:pPr>
            <w:r>
              <w:rPr>
                <w:b/>
                <w:color w:val="123D52"/>
                <w:sz w:val="19"/>
              </w:rPr>
              <w:t>$3,902,190</w:t>
            </w:r>
          </w:p>
        </w:tc>
      </w:tr>
      <w:tr w:rsidR="007A21BA" w14:paraId="7B3CA87D" w14:textId="77777777">
        <w:trPr>
          <w:jc w:val="center"/>
        </w:trPr>
        <w:tc>
          <w:tcPr>
            <w:tcW w:w="5083" w:type="dxa"/>
            <w:vAlign w:val="center"/>
          </w:tcPr>
          <w:p w14:paraId="110BF8C4" w14:textId="77777777" w:rsidR="007A21BA" w:rsidRDefault="0089099D">
            <w:r>
              <w:rPr>
                <w:sz w:val="18"/>
              </w:rPr>
              <w:t>Average discretionary earnings</w:t>
            </w:r>
          </w:p>
        </w:tc>
        <w:tc>
          <w:tcPr>
            <w:tcW w:w="5083" w:type="dxa"/>
            <w:vAlign w:val="center"/>
          </w:tcPr>
          <w:p w14:paraId="13533C4A" w14:textId="77777777" w:rsidR="007A21BA" w:rsidRDefault="0089099D">
            <w:pPr>
              <w:jc w:val="right"/>
            </w:pPr>
            <w:r>
              <w:rPr>
                <w:b/>
                <w:color w:val="123D52"/>
                <w:sz w:val="19"/>
              </w:rPr>
              <w:t>$1,172,740</w:t>
            </w:r>
          </w:p>
        </w:tc>
      </w:tr>
      <w:tr w:rsidR="007A21BA" w14:paraId="6FCBDC77" w14:textId="77777777">
        <w:trPr>
          <w:jc w:val="center"/>
        </w:trPr>
        <w:tc>
          <w:tcPr>
            <w:tcW w:w="5083" w:type="dxa"/>
            <w:vAlign w:val="center"/>
          </w:tcPr>
          <w:p w14:paraId="6118B9CC" w14:textId="77777777" w:rsidR="007A21BA" w:rsidRDefault="0089099D">
            <w:r>
              <w:rPr>
                <w:sz w:val="18"/>
              </w:rPr>
              <w:t>Sold price / sales</w:t>
            </w:r>
          </w:p>
        </w:tc>
        <w:tc>
          <w:tcPr>
            <w:tcW w:w="5083" w:type="dxa"/>
            <w:vAlign w:val="center"/>
          </w:tcPr>
          <w:p w14:paraId="0C9CA0A7" w14:textId="77777777" w:rsidR="007A21BA" w:rsidRDefault="0089099D">
            <w:pPr>
              <w:jc w:val="right"/>
            </w:pPr>
            <w:r>
              <w:rPr>
                <w:b/>
                <w:color w:val="123D52"/>
                <w:sz w:val="19"/>
              </w:rPr>
              <w:t>0.489x</w:t>
            </w:r>
          </w:p>
        </w:tc>
      </w:tr>
      <w:tr w:rsidR="007A21BA" w14:paraId="3654FC8E" w14:textId="77777777">
        <w:trPr>
          <w:jc w:val="center"/>
        </w:trPr>
        <w:tc>
          <w:tcPr>
            <w:tcW w:w="5083" w:type="dxa"/>
            <w:vAlign w:val="center"/>
          </w:tcPr>
          <w:p w14:paraId="7AD5AB1A" w14:textId="77777777" w:rsidR="007A21BA" w:rsidRDefault="0089099D">
            <w:r>
              <w:rPr>
                <w:sz w:val="18"/>
              </w:rPr>
              <w:t>Discretionary earnings / sales</w:t>
            </w:r>
          </w:p>
        </w:tc>
        <w:tc>
          <w:tcPr>
            <w:tcW w:w="5083" w:type="dxa"/>
            <w:vAlign w:val="center"/>
          </w:tcPr>
          <w:p w14:paraId="7211F79B" w14:textId="77777777" w:rsidR="007A21BA" w:rsidRDefault="0089099D">
            <w:pPr>
              <w:jc w:val="right"/>
            </w:pPr>
            <w:r>
              <w:rPr>
                <w:b/>
                <w:color w:val="123D52"/>
                <w:sz w:val="19"/>
              </w:rPr>
              <w:t>18.3%</w:t>
            </w:r>
          </w:p>
        </w:tc>
      </w:tr>
      <w:tr w:rsidR="007A21BA" w14:paraId="68E93C1B" w14:textId="77777777">
        <w:trPr>
          <w:jc w:val="center"/>
        </w:trPr>
        <w:tc>
          <w:tcPr>
            <w:tcW w:w="5083" w:type="dxa"/>
            <w:vAlign w:val="center"/>
          </w:tcPr>
          <w:p w14:paraId="7569A82D" w14:textId="77777777" w:rsidR="007A21BA" w:rsidRDefault="0089099D">
            <w:r>
              <w:rPr>
                <w:sz w:val="18"/>
              </w:rPr>
              <w:t>Sold price / discretionary earnings</w:t>
            </w:r>
          </w:p>
        </w:tc>
        <w:tc>
          <w:tcPr>
            <w:tcW w:w="5083" w:type="dxa"/>
            <w:vAlign w:val="center"/>
          </w:tcPr>
          <w:p w14:paraId="7165C952" w14:textId="77777777" w:rsidR="007A21BA" w:rsidRDefault="0089099D">
            <w:pPr>
              <w:jc w:val="right"/>
            </w:pPr>
            <w:r>
              <w:rPr>
                <w:b/>
                <w:color w:val="123D52"/>
                <w:sz w:val="19"/>
              </w:rPr>
              <w:t>2.967x</w:t>
            </w:r>
          </w:p>
        </w:tc>
      </w:tr>
      <w:tr w:rsidR="007A21BA" w14:paraId="5AF3AD5A" w14:textId="77777777">
        <w:trPr>
          <w:jc w:val="center"/>
        </w:trPr>
        <w:tc>
          <w:tcPr>
            <w:tcW w:w="5083" w:type="dxa"/>
            <w:vAlign w:val="center"/>
          </w:tcPr>
          <w:p w14:paraId="56B3D89C" w14:textId="77777777" w:rsidR="007A21BA" w:rsidRDefault="0089099D">
            <w:r>
              <w:rPr>
                <w:sz w:val="18"/>
              </w:rPr>
              <w:t>Rent / sales</w:t>
            </w:r>
          </w:p>
        </w:tc>
        <w:tc>
          <w:tcPr>
            <w:tcW w:w="5083" w:type="dxa"/>
            <w:vAlign w:val="center"/>
          </w:tcPr>
          <w:p w14:paraId="4C89BBBA" w14:textId="77777777" w:rsidR="007A21BA" w:rsidRDefault="0089099D">
            <w:pPr>
              <w:jc w:val="right"/>
            </w:pPr>
            <w:r>
              <w:rPr>
                <w:b/>
                <w:color w:val="123D52"/>
                <w:sz w:val="19"/>
              </w:rPr>
              <w:t>1.4%</w:t>
            </w:r>
          </w:p>
        </w:tc>
      </w:tr>
      <w:tr w:rsidR="007A21BA" w14:paraId="0CB93B09" w14:textId="77777777">
        <w:trPr>
          <w:jc w:val="center"/>
        </w:trPr>
        <w:tc>
          <w:tcPr>
            <w:tcW w:w="5083" w:type="dxa"/>
            <w:vAlign w:val="center"/>
          </w:tcPr>
          <w:p w14:paraId="514E4D48" w14:textId="77777777" w:rsidR="007A21BA" w:rsidRDefault="0089099D">
            <w:r>
              <w:rPr>
                <w:sz w:val="18"/>
              </w:rPr>
              <w:t>Sold price / asking price</w:t>
            </w:r>
          </w:p>
        </w:tc>
        <w:tc>
          <w:tcPr>
            <w:tcW w:w="5083" w:type="dxa"/>
            <w:vAlign w:val="center"/>
          </w:tcPr>
          <w:p w14:paraId="43F79919" w14:textId="77777777" w:rsidR="007A21BA" w:rsidRDefault="0089099D">
            <w:pPr>
              <w:jc w:val="right"/>
            </w:pPr>
            <w:r>
              <w:rPr>
                <w:b/>
                <w:color w:val="123D52"/>
                <w:sz w:val="19"/>
              </w:rPr>
              <w:t>78.5%</w:t>
            </w:r>
          </w:p>
        </w:tc>
      </w:tr>
      <w:tr w:rsidR="007A21BA" w14:paraId="6C5A54B1" w14:textId="77777777">
        <w:trPr>
          <w:jc w:val="center"/>
        </w:trPr>
        <w:tc>
          <w:tcPr>
            <w:tcW w:w="5083" w:type="dxa"/>
            <w:vAlign w:val="center"/>
          </w:tcPr>
          <w:p w14:paraId="391A91C6" w14:textId="77777777" w:rsidR="007A21BA" w:rsidRDefault="0089099D">
            <w:r>
              <w:rPr>
                <w:sz w:val="18"/>
              </w:rPr>
              <w:t>Average days on market</w:t>
            </w:r>
          </w:p>
        </w:tc>
        <w:tc>
          <w:tcPr>
            <w:tcW w:w="5083" w:type="dxa"/>
            <w:vAlign w:val="center"/>
          </w:tcPr>
          <w:p w14:paraId="4B573A09" w14:textId="77777777" w:rsidR="007A21BA" w:rsidRDefault="0089099D">
            <w:pPr>
              <w:jc w:val="right"/>
            </w:pPr>
            <w:r>
              <w:rPr>
                <w:b/>
                <w:color w:val="123D52"/>
                <w:sz w:val="19"/>
              </w:rPr>
              <w:t>406 days</w:t>
            </w:r>
          </w:p>
        </w:tc>
      </w:tr>
    </w:tbl>
    <w:p w14:paraId="606FF9F1" w14:textId="77777777" w:rsidR="007A21BA" w:rsidRDefault="0089099D">
      <w:r>
        <w:t>In simple terms, the average completed transaction in this Florida dataset involved approximately $6.23 million in revenue, $1.17 million in discretionary earnings and a $3.90 million sold price.</w:t>
      </w:r>
    </w:p>
    <w:p w14:paraId="42D48544" w14:textId="77777777" w:rsidR="007A21BA" w:rsidRDefault="0089099D">
      <w:pPr>
        <w:pStyle w:val="Heading2"/>
      </w:pPr>
      <w:r>
        <w:t>What the averages do and do not tell us</w:t>
      </w:r>
    </w:p>
    <w:p w14:paraId="6E095F10" w14:textId="77777777" w:rsidR="007A21BA" w:rsidRDefault="0089099D">
      <w:r>
        <w:t>The 2.97x average discretionary-earnings multiple is useful evidence of where completed transactions landed, but it is not a valuation formula. Roofing businesses can vary materially based on residential versus commercial mix, reroofing versus new construction, storm exposure, customer concentration, subcontractor use, insurance, workforce, sales model, margin quality and owner involvement.</w:t>
      </w:r>
    </w:p>
    <w:p w14:paraId="7890CF16" w14:textId="77777777" w:rsidR="007A21BA" w:rsidRDefault="0089099D">
      <w:r>
        <w:t>The 406-day average time on market is also meaningful. It suggests that an owner who wants a controlled transition should think in terms of preparation and process, not a quick event.</w:t>
      </w:r>
    </w:p>
    <w:p w14:paraId="66657CF2" w14:textId="77777777" w:rsidR="007A21BA" w:rsidRDefault="0089099D">
      <w:r>
        <w:br w:type="page"/>
      </w:r>
    </w:p>
    <w:p w14:paraId="5E7736CA" w14:textId="77777777" w:rsidR="007A21BA" w:rsidRDefault="0089099D">
      <w:pPr>
        <w:pStyle w:val="Heading1"/>
      </w:pPr>
      <w:r>
        <w:lastRenderedPageBreak/>
        <w:t>2. Roofing Is a Large, Fragmented Local Industry</w:t>
      </w:r>
    </w:p>
    <w:p w14:paraId="1E7DCC49" w14:textId="77777777" w:rsidR="007A21BA" w:rsidRDefault="0089099D">
      <w:r>
        <w:t>Vertical IQ describes roofing and siding contracting as a fragmented industry with about 32,000 establishments, roughly 245,500 workers and approximately $47 billion in annual revenue. Roofing contractors account for 72% of establishments and 86% of industry revenue.</w:t>
      </w:r>
    </w:p>
    <w:p w14:paraId="5B12CB62" w14:textId="77777777" w:rsidR="007A21BA" w:rsidRDefault="0089099D">
      <w:r>
        <w:t>The average roofing or siding contractor operates from a single location, employs roughly 7 to 8 workers and generates about $1.5 million annually. Most firms are independent and serve a limited geographic market.</w:t>
      </w:r>
    </w:p>
    <w:tbl>
      <w:tblPr>
        <w:tblStyle w:val="TableGrid"/>
        <w:tblW w:w="0" w:type="auto"/>
        <w:jc w:val="center"/>
        <w:tblLook w:val="04A0" w:firstRow="1" w:lastRow="0" w:firstColumn="1" w:lastColumn="0" w:noHBand="0" w:noVBand="1"/>
      </w:tblPr>
      <w:tblGrid>
        <w:gridCol w:w="5078"/>
        <w:gridCol w:w="5078"/>
      </w:tblGrid>
      <w:tr w:rsidR="007A21BA" w14:paraId="6C06D279" w14:textId="77777777">
        <w:trPr>
          <w:jc w:val="center"/>
        </w:trPr>
        <w:tc>
          <w:tcPr>
            <w:tcW w:w="5083" w:type="dxa"/>
            <w:shd w:val="clear" w:color="auto" w:fill="1F2F2A"/>
            <w:vAlign w:val="center"/>
          </w:tcPr>
          <w:p w14:paraId="7B1157A6" w14:textId="77777777" w:rsidR="007A21BA" w:rsidRDefault="0089099D">
            <w:r>
              <w:rPr>
                <w:b/>
                <w:color w:val="FFFFFF"/>
              </w:rPr>
              <w:t>Industry Snapshot</w:t>
            </w:r>
          </w:p>
        </w:tc>
        <w:tc>
          <w:tcPr>
            <w:tcW w:w="5083" w:type="dxa"/>
            <w:shd w:val="clear" w:color="auto" w:fill="1F2F2A"/>
            <w:vAlign w:val="center"/>
          </w:tcPr>
          <w:p w14:paraId="635C6E78" w14:textId="77777777" w:rsidR="007A21BA" w:rsidRDefault="0089099D">
            <w:pPr>
              <w:jc w:val="right"/>
            </w:pPr>
            <w:r>
              <w:rPr>
                <w:b/>
                <w:color w:val="FFFFFF"/>
              </w:rPr>
              <w:t>Source Figure</w:t>
            </w:r>
          </w:p>
        </w:tc>
      </w:tr>
      <w:tr w:rsidR="007A21BA" w14:paraId="57C05FD4" w14:textId="77777777">
        <w:trPr>
          <w:jc w:val="center"/>
        </w:trPr>
        <w:tc>
          <w:tcPr>
            <w:tcW w:w="5083" w:type="dxa"/>
            <w:vAlign w:val="center"/>
          </w:tcPr>
          <w:p w14:paraId="5CC566D7" w14:textId="77777777" w:rsidR="007A21BA" w:rsidRDefault="0089099D">
            <w:r>
              <w:rPr>
                <w:sz w:val="18"/>
              </w:rPr>
              <w:t>Industry annual revenue</w:t>
            </w:r>
          </w:p>
        </w:tc>
        <w:tc>
          <w:tcPr>
            <w:tcW w:w="5083" w:type="dxa"/>
            <w:vAlign w:val="center"/>
          </w:tcPr>
          <w:p w14:paraId="1C071BC0" w14:textId="77777777" w:rsidR="007A21BA" w:rsidRDefault="0089099D">
            <w:pPr>
              <w:jc w:val="right"/>
            </w:pPr>
            <w:r>
              <w:rPr>
                <w:b/>
                <w:color w:val="123D52"/>
                <w:sz w:val="18"/>
              </w:rPr>
              <w:t>~$47B</w:t>
            </w:r>
          </w:p>
        </w:tc>
      </w:tr>
      <w:tr w:rsidR="007A21BA" w14:paraId="1410A49B" w14:textId="77777777">
        <w:trPr>
          <w:jc w:val="center"/>
        </w:trPr>
        <w:tc>
          <w:tcPr>
            <w:tcW w:w="5083" w:type="dxa"/>
            <w:vAlign w:val="center"/>
          </w:tcPr>
          <w:p w14:paraId="0A292202" w14:textId="77777777" w:rsidR="007A21BA" w:rsidRDefault="0089099D">
            <w:r>
              <w:rPr>
                <w:sz w:val="18"/>
              </w:rPr>
              <w:t>Industry establishments</w:t>
            </w:r>
          </w:p>
        </w:tc>
        <w:tc>
          <w:tcPr>
            <w:tcW w:w="5083" w:type="dxa"/>
            <w:vAlign w:val="center"/>
          </w:tcPr>
          <w:p w14:paraId="670A5FF8" w14:textId="77777777" w:rsidR="007A21BA" w:rsidRDefault="0089099D">
            <w:pPr>
              <w:jc w:val="right"/>
            </w:pPr>
            <w:r>
              <w:rPr>
                <w:b/>
                <w:color w:val="123D52"/>
                <w:sz w:val="18"/>
              </w:rPr>
              <w:t>~32,000</w:t>
            </w:r>
          </w:p>
        </w:tc>
      </w:tr>
      <w:tr w:rsidR="007A21BA" w14:paraId="28F3A691" w14:textId="77777777">
        <w:trPr>
          <w:jc w:val="center"/>
        </w:trPr>
        <w:tc>
          <w:tcPr>
            <w:tcW w:w="5083" w:type="dxa"/>
            <w:vAlign w:val="center"/>
          </w:tcPr>
          <w:p w14:paraId="5D879D48" w14:textId="77777777" w:rsidR="007A21BA" w:rsidRDefault="0089099D">
            <w:r>
              <w:rPr>
                <w:sz w:val="18"/>
              </w:rPr>
              <w:t>Roofing share of establishments</w:t>
            </w:r>
          </w:p>
        </w:tc>
        <w:tc>
          <w:tcPr>
            <w:tcW w:w="5083" w:type="dxa"/>
            <w:vAlign w:val="center"/>
          </w:tcPr>
          <w:p w14:paraId="36A9BE3B" w14:textId="77777777" w:rsidR="007A21BA" w:rsidRDefault="0089099D">
            <w:pPr>
              <w:jc w:val="right"/>
            </w:pPr>
            <w:r>
              <w:rPr>
                <w:b/>
                <w:color w:val="123D52"/>
                <w:sz w:val="18"/>
              </w:rPr>
              <w:t>72%</w:t>
            </w:r>
          </w:p>
        </w:tc>
      </w:tr>
      <w:tr w:rsidR="007A21BA" w14:paraId="0156A2C1" w14:textId="77777777">
        <w:trPr>
          <w:jc w:val="center"/>
        </w:trPr>
        <w:tc>
          <w:tcPr>
            <w:tcW w:w="5083" w:type="dxa"/>
            <w:vAlign w:val="center"/>
          </w:tcPr>
          <w:p w14:paraId="2649C6F1" w14:textId="77777777" w:rsidR="007A21BA" w:rsidRDefault="0089099D">
            <w:r>
              <w:rPr>
                <w:sz w:val="18"/>
              </w:rPr>
              <w:t>Roofing share of industry revenue</w:t>
            </w:r>
          </w:p>
        </w:tc>
        <w:tc>
          <w:tcPr>
            <w:tcW w:w="5083" w:type="dxa"/>
            <w:vAlign w:val="center"/>
          </w:tcPr>
          <w:p w14:paraId="7761E337" w14:textId="77777777" w:rsidR="007A21BA" w:rsidRDefault="0089099D">
            <w:pPr>
              <w:jc w:val="right"/>
            </w:pPr>
            <w:r>
              <w:rPr>
                <w:b/>
                <w:color w:val="123D52"/>
                <w:sz w:val="18"/>
              </w:rPr>
              <w:t>86%</w:t>
            </w:r>
          </w:p>
        </w:tc>
      </w:tr>
      <w:tr w:rsidR="007A21BA" w14:paraId="6719E111" w14:textId="77777777">
        <w:trPr>
          <w:jc w:val="center"/>
        </w:trPr>
        <w:tc>
          <w:tcPr>
            <w:tcW w:w="5083" w:type="dxa"/>
            <w:vAlign w:val="center"/>
          </w:tcPr>
          <w:p w14:paraId="73AE7DA2" w14:textId="77777777" w:rsidR="007A21BA" w:rsidRDefault="0089099D">
            <w:r>
              <w:rPr>
                <w:sz w:val="18"/>
              </w:rPr>
              <w:t>Average contractor revenue</w:t>
            </w:r>
          </w:p>
        </w:tc>
        <w:tc>
          <w:tcPr>
            <w:tcW w:w="5083" w:type="dxa"/>
            <w:vAlign w:val="center"/>
          </w:tcPr>
          <w:p w14:paraId="0816A08C" w14:textId="77777777" w:rsidR="007A21BA" w:rsidRDefault="0089099D">
            <w:pPr>
              <w:jc w:val="right"/>
            </w:pPr>
            <w:r>
              <w:rPr>
                <w:b/>
                <w:color w:val="123D52"/>
                <w:sz w:val="18"/>
              </w:rPr>
              <w:t>~$1.5M</w:t>
            </w:r>
          </w:p>
        </w:tc>
      </w:tr>
      <w:tr w:rsidR="007A21BA" w14:paraId="5449C5F8" w14:textId="77777777">
        <w:trPr>
          <w:jc w:val="center"/>
        </w:trPr>
        <w:tc>
          <w:tcPr>
            <w:tcW w:w="5083" w:type="dxa"/>
            <w:vAlign w:val="center"/>
          </w:tcPr>
          <w:p w14:paraId="66DC2A95" w14:textId="77777777" w:rsidR="007A21BA" w:rsidRDefault="0089099D">
            <w:r>
              <w:rPr>
                <w:sz w:val="18"/>
              </w:rPr>
              <w:t>Average employment</w:t>
            </w:r>
          </w:p>
        </w:tc>
        <w:tc>
          <w:tcPr>
            <w:tcW w:w="5083" w:type="dxa"/>
            <w:vAlign w:val="center"/>
          </w:tcPr>
          <w:p w14:paraId="275A7511" w14:textId="77777777" w:rsidR="007A21BA" w:rsidRDefault="0089099D">
            <w:pPr>
              <w:jc w:val="right"/>
            </w:pPr>
            <w:r>
              <w:rPr>
                <w:b/>
                <w:color w:val="123D52"/>
                <w:sz w:val="18"/>
              </w:rPr>
              <w:t>7-8 workers</w:t>
            </w:r>
          </w:p>
        </w:tc>
      </w:tr>
      <w:tr w:rsidR="007A21BA" w14:paraId="21EFB543" w14:textId="77777777">
        <w:trPr>
          <w:jc w:val="center"/>
        </w:trPr>
        <w:tc>
          <w:tcPr>
            <w:tcW w:w="5083" w:type="dxa"/>
            <w:vAlign w:val="center"/>
          </w:tcPr>
          <w:p w14:paraId="2D3CAF29" w14:textId="77777777" w:rsidR="007A21BA" w:rsidRDefault="0089099D">
            <w:r>
              <w:rPr>
                <w:sz w:val="18"/>
              </w:rPr>
              <w:t>Florida establishments</w:t>
            </w:r>
          </w:p>
        </w:tc>
        <w:tc>
          <w:tcPr>
            <w:tcW w:w="5083" w:type="dxa"/>
            <w:vAlign w:val="center"/>
          </w:tcPr>
          <w:p w14:paraId="0C18793C" w14:textId="77777777" w:rsidR="007A21BA" w:rsidRDefault="0089099D">
            <w:pPr>
              <w:jc w:val="right"/>
            </w:pPr>
            <w:r>
              <w:rPr>
                <w:b/>
                <w:color w:val="123D52"/>
                <w:sz w:val="18"/>
              </w:rPr>
              <w:t>5,734</w:t>
            </w:r>
          </w:p>
        </w:tc>
      </w:tr>
      <w:tr w:rsidR="007A21BA" w14:paraId="2112D386" w14:textId="77777777">
        <w:trPr>
          <w:jc w:val="center"/>
        </w:trPr>
        <w:tc>
          <w:tcPr>
            <w:tcW w:w="5083" w:type="dxa"/>
            <w:vAlign w:val="center"/>
          </w:tcPr>
          <w:p w14:paraId="0409833E" w14:textId="77777777" w:rsidR="007A21BA" w:rsidRDefault="0089099D">
            <w:r>
              <w:rPr>
                <w:sz w:val="18"/>
              </w:rPr>
              <w:t>Florida share of U.S. establishments</w:t>
            </w:r>
          </w:p>
        </w:tc>
        <w:tc>
          <w:tcPr>
            <w:tcW w:w="5083" w:type="dxa"/>
            <w:vAlign w:val="center"/>
          </w:tcPr>
          <w:p w14:paraId="7BFC81F7" w14:textId="77777777" w:rsidR="007A21BA" w:rsidRDefault="0089099D">
            <w:pPr>
              <w:jc w:val="right"/>
            </w:pPr>
            <w:r>
              <w:rPr>
                <w:b/>
                <w:color w:val="123D52"/>
                <w:sz w:val="18"/>
              </w:rPr>
              <w:t>14.0%</w:t>
            </w:r>
          </w:p>
        </w:tc>
      </w:tr>
    </w:tbl>
    <w:p w14:paraId="6A4979A5" w14:textId="77777777" w:rsidR="007A21BA" w:rsidRDefault="0089099D">
      <w:pPr>
        <w:pStyle w:val="Heading1"/>
      </w:pPr>
      <w:r>
        <w:t>3. Florida Is a Particularly Important Roofing Market</w:t>
      </w:r>
    </w:p>
    <w:p w14:paraId="1FCC911A" w14:textId="77777777" w:rsidR="007A21BA" w:rsidRDefault="0089099D">
      <w:r>
        <w:t>Florida had 5,734 roofing and siding contractor establishments in the Vertical IQ geographic data, representing 14.0% of the U.S. total. Florida establishments increased 5.7% year over year in the period measured.</w:t>
      </w:r>
    </w:p>
    <w:p w14:paraId="05E743FA" w14:textId="77777777" w:rsidR="007A21BA" w:rsidRDefault="0089099D">
      <w:r>
        <w:t>The state has several structural demand drivers: a large housing base, ongoing construction, high property turnover in many markets, aging roofs, strong reroofing demand and exposure to hurricanes and tropical storms. Severe storms can create dramatic spikes in demand, but they can also tighten labor and material availability and create price volatility.</w:t>
      </w:r>
    </w:p>
    <w:p w14:paraId="142783C6" w14:textId="77777777" w:rsidR="007A21BA" w:rsidRDefault="0089099D">
      <w:pPr>
        <w:pStyle w:val="Heading1"/>
      </w:pPr>
      <w:r>
        <w:t>4. Revenue Mix Matters More Than Top-Line Revenue Alone</w:t>
      </w:r>
    </w:p>
    <w:p w14:paraId="4AF6EE03" w14:textId="77777777" w:rsidR="007A21BA" w:rsidRDefault="0089099D">
      <w:r>
        <w:t>Industry revenue is spread across several types of work. Vertical IQ reports approximately 38% from new construction, 31% from additions and alterations, 30% from repair and maintenance, and 1% from other work.</w:t>
      </w:r>
    </w:p>
    <w:tbl>
      <w:tblPr>
        <w:tblStyle w:val="TableGrid"/>
        <w:tblW w:w="0" w:type="auto"/>
        <w:jc w:val="center"/>
        <w:tblLook w:val="04A0" w:firstRow="1" w:lastRow="0" w:firstColumn="1" w:lastColumn="0" w:noHBand="0" w:noVBand="1"/>
      </w:tblPr>
      <w:tblGrid>
        <w:gridCol w:w="5078"/>
        <w:gridCol w:w="5078"/>
      </w:tblGrid>
      <w:tr w:rsidR="007A21BA" w14:paraId="43D634FF" w14:textId="77777777">
        <w:trPr>
          <w:jc w:val="center"/>
        </w:trPr>
        <w:tc>
          <w:tcPr>
            <w:tcW w:w="5083" w:type="dxa"/>
            <w:shd w:val="clear" w:color="auto" w:fill="123D52"/>
            <w:vAlign w:val="center"/>
          </w:tcPr>
          <w:p w14:paraId="7E15D3EF" w14:textId="77777777" w:rsidR="007A21BA" w:rsidRDefault="0089099D">
            <w:r>
              <w:rPr>
                <w:b/>
                <w:color w:val="FFFFFF"/>
              </w:rPr>
              <w:t>Revenue Category</w:t>
            </w:r>
          </w:p>
        </w:tc>
        <w:tc>
          <w:tcPr>
            <w:tcW w:w="5083" w:type="dxa"/>
            <w:shd w:val="clear" w:color="auto" w:fill="123D52"/>
            <w:vAlign w:val="center"/>
          </w:tcPr>
          <w:p w14:paraId="267078C7" w14:textId="77777777" w:rsidR="007A21BA" w:rsidRDefault="0089099D">
            <w:pPr>
              <w:jc w:val="right"/>
            </w:pPr>
            <w:r>
              <w:rPr>
                <w:b/>
                <w:color w:val="FFFFFF"/>
              </w:rPr>
              <w:t>Industry Share</w:t>
            </w:r>
          </w:p>
        </w:tc>
      </w:tr>
      <w:tr w:rsidR="007A21BA" w14:paraId="3465D74E" w14:textId="77777777">
        <w:trPr>
          <w:jc w:val="center"/>
        </w:trPr>
        <w:tc>
          <w:tcPr>
            <w:tcW w:w="5083" w:type="dxa"/>
            <w:vAlign w:val="center"/>
          </w:tcPr>
          <w:p w14:paraId="0BBBF827" w14:textId="77777777" w:rsidR="007A21BA" w:rsidRDefault="0089099D">
            <w:r>
              <w:rPr>
                <w:sz w:val="18"/>
              </w:rPr>
              <w:t>New construction</w:t>
            </w:r>
          </w:p>
        </w:tc>
        <w:tc>
          <w:tcPr>
            <w:tcW w:w="5083" w:type="dxa"/>
            <w:vAlign w:val="center"/>
          </w:tcPr>
          <w:p w14:paraId="452B97A8" w14:textId="77777777" w:rsidR="007A21BA" w:rsidRDefault="0089099D">
            <w:pPr>
              <w:jc w:val="right"/>
            </w:pPr>
            <w:r>
              <w:rPr>
                <w:b/>
                <w:color w:val="123D52"/>
                <w:sz w:val="19"/>
              </w:rPr>
              <w:t>38%</w:t>
            </w:r>
          </w:p>
        </w:tc>
      </w:tr>
      <w:tr w:rsidR="007A21BA" w14:paraId="4265B05E" w14:textId="77777777">
        <w:trPr>
          <w:jc w:val="center"/>
        </w:trPr>
        <w:tc>
          <w:tcPr>
            <w:tcW w:w="5083" w:type="dxa"/>
            <w:vAlign w:val="center"/>
          </w:tcPr>
          <w:p w14:paraId="4201ABEB" w14:textId="77777777" w:rsidR="007A21BA" w:rsidRDefault="0089099D">
            <w:r>
              <w:rPr>
                <w:sz w:val="18"/>
              </w:rPr>
              <w:t>Additions &amp; alterations</w:t>
            </w:r>
          </w:p>
        </w:tc>
        <w:tc>
          <w:tcPr>
            <w:tcW w:w="5083" w:type="dxa"/>
            <w:vAlign w:val="center"/>
          </w:tcPr>
          <w:p w14:paraId="552D3561" w14:textId="77777777" w:rsidR="007A21BA" w:rsidRDefault="0089099D">
            <w:pPr>
              <w:jc w:val="right"/>
            </w:pPr>
            <w:r>
              <w:rPr>
                <w:b/>
                <w:color w:val="123D52"/>
                <w:sz w:val="19"/>
              </w:rPr>
              <w:t>31%</w:t>
            </w:r>
          </w:p>
        </w:tc>
      </w:tr>
      <w:tr w:rsidR="007A21BA" w14:paraId="53B8713E" w14:textId="77777777">
        <w:trPr>
          <w:jc w:val="center"/>
        </w:trPr>
        <w:tc>
          <w:tcPr>
            <w:tcW w:w="5083" w:type="dxa"/>
            <w:vAlign w:val="center"/>
          </w:tcPr>
          <w:p w14:paraId="522BCFBA" w14:textId="77777777" w:rsidR="007A21BA" w:rsidRDefault="0089099D">
            <w:r>
              <w:rPr>
                <w:sz w:val="18"/>
              </w:rPr>
              <w:t>Repair &amp; maintenance</w:t>
            </w:r>
          </w:p>
        </w:tc>
        <w:tc>
          <w:tcPr>
            <w:tcW w:w="5083" w:type="dxa"/>
            <w:vAlign w:val="center"/>
          </w:tcPr>
          <w:p w14:paraId="75CCFAA5" w14:textId="77777777" w:rsidR="007A21BA" w:rsidRDefault="0089099D">
            <w:pPr>
              <w:jc w:val="right"/>
            </w:pPr>
            <w:r>
              <w:rPr>
                <w:b/>
                <w:color w:val="123D52"/>
                <w:sz w:val="19"/>
              </w:rPr>
              <w:t>30%</w:t>
            </w:r>
          </w:p>
        </w:tc>
      </w:tr>
      <w:tr w:rsidR="007A21BA" w14:paraId="44BF6788" w14:textId="77777777">
        <w:trPr>
          <w:jc w:val="center"/>
        </w:trPr>
        <w:tc>
          <w:tcPr>
            <w:tcW w:w="5083" w:type="dxa"/>
            <w:vAlign w:val="center"/>
          </w:tcPr>
          <w:p w14:paraId="65DD478A" w14:textId="77777777" w:rsidR="007A21BA" w:rsidRDefault="0089099D">
            <w:r>
              <w:rPr>
                <w:sz w:val="18"/>
              </w:rPr>
              <w:t>Other</w:t>
            </w:r>
          </w:p>
        </w:tc>
        <w:tc>
          <w:tcPr>
            <w:tcW w:w="5083" w:type="dxa"/>
            <w:vAlign w:val="center"/>
          </w:tcPr>
          <w:p w14:paraId="750E682C" w14:textId="77777777" w:rsidR="007A21BA" w:rsidRDefault="0089099D">
            <w:pPr>
              <w:jc w:val="right"/>
            </w:pPr>
            <w:r>
              <w:rPr>
                <w:b/>
                <w:color w:val="123D52"/>
                <w:sz w:val="19"/>
              </w:rPr>
              <w:t>1%</w:t>
            </w:r>
          </w:p>
        </w:tc>
      </w:tr>
    </w:tbl>
    <w:p w14:paraId="7DF39682" w14:textId="77777777" w:rsidR="007A21BA" w:rsidRDefault="0089099D">
      <w:r>
        <w:t>That mix matters to buyers because different revenue streams carry different risk. New construction may provide large backlog but can be exposed to bidding pressure and general-contractor concentration. Repair, maintenance and service work can produce higher margins and more direct customer relationships. Reroofing can also provide resilience when new construction slows.</w:t>
      </w:r>
    </w:p>
    <w:tbl>
      <w:tblPr>
        <w:tblW w:w="0" w:type="auto"/>
        <w:jc w:val="center"/>
        <w:tblLook w:val="04A0" w:firstRow="1" w:lastRow="0" w:firstColumn="1" w:lastColumn="0" w:noHBand="0" w:noVBand="1"/>
      </w:tblPr>
      <w:tblGrid>
        <w:gridCol w:w="10166"/>
      </w:tblGrid>
      <w:tr w:rsidR="007A21BA" w14:paraId="6B23E83F" w14:textId="77777777">
        <w:trPr>
          <w:jc w:val="center"/>
        </w:trPr>
        <w:tc>
          <w:tcPr>
            <w:tcW w:w="10166" w:type="dxa"/>
            <w:shd w:val="clear" w:color="auto" w:fill="EEF3F4"/>
          </w:tcPr>
          <w:p w14:paraId="04E1EBB9" w14:textId="77777777" w:rsidR="007A21BA" w:rsidRDefault="0089099D">
            <w:r>
              <w:rPr>
                <w:b/>
                <w:color w:val="123D52"/>
                <w:sz w:val="22"/>
              </w:rPr>
              <w:t>A useful owner question</w:t>
            </w:r>
          </w:p>
          <w:p w14:paraId="6A1CBA4C" w14:textId="77777777" w:rsidR="007A21BA" w:rsidRDefault="0089099D">
            <w:r>
              <w:rPr>
                <w:color w:val="243238"/>
              </w:rPr>
              <w:t>If new construction slowed tomorrow, what portion of the business would continue because of reroofing, service, repair, maintenance and direct customer demand?</w:t>
            </w:r>
          </w:p>
        </w:tc>
      </w:tr>
    </w:tbl>
    <w:p w14:paraId="5B91B5A4" w14:textId="77777777" w:rsidR="007A21BA" w:rsidRDefault="0089099D">
      <w:pPr>
        <w:pStyle w:val="Heading1"/>
      </w:pPr>
      <w:r>
        <w:lastRenderedPageBreak/>
        <w:t>5. What Buyers Pay Attention to in a Roofing Contractor</w:t>
      </w:r>
    </w:p>
    <w:p w14:paraId="7FF23F0C" w14:textId="77777777" w:rsidR="007A21BA" w:rsidRDefault="0089099D">
      <w:pPr>
        <w:pStyle w:val="Heading2"/>
      </w:pPr>
      <w:r>
        <w:t>Revenue mix</w:t>
      </w:r>
    </w:p>
    <w:p w14:paraId="0B69B3D6" w14:textId="77777777" w:rsidR="007A21BA" w:rsidRDefault="0089099D">
      <w:r>
        <w:t>Buyers want to understand residential versus commercial work, reroofing versus new construction, service and repair, insurance-related work, and how storm activity affects results.</w:t>
      </w:r>
    </w:p>
    <w:p w14:paraId="7124D19C" w14:textId="77777777" w:rsidR="007A21BA" w:rsidRDefault="0089099D">
      <w:pPr>
        <w:pStyle w:val="Heading2"/>
      </w:pPr>
      <w:r>
        <w:t>Lead-source concentration</w:t>
      </w:r>
    </w:p>
    <w:p w14:paraId="2C8A48B5" w14:textId="77777777" w:rsidR="007A21BA" w:rsidRDefault="0089099D">
      <w:r>
        <w:t>Roofing businesses can be built around referrals, digital marketing, canvassing, general contractors, property managers, insurance-related work or repeat commercial accounts. Buyers want to know whether lead flow belongs to the company or to one owner or salesperson.</w:t>
      </w:r>
    </w:p>
    <w:p w14:paraId="5014051F" w14:textId="77777777" w:rsidR="007A21BA" w:rsidRDefault="0089099D">
      <w:pPr>
        <w:pStyle w:val="Heading2"/>
      </w:pPr>
      <w:r>
        <w:t>Customer and GC concentration</w:t>
      </w:r>
    </w:p>
    <w:p w14:paraId="2B154709" w14:textId="77777777" w:rsidR="007A21BA" w:rsidRDefault="0089099D">
      <w:r>
        <w:t>Large general contractors and commercial customers can be valuable relationships, but dependence on one or two accounts increases risk. Direct-to-owner business can carry different economics and collection patterns.</w:t>
      </w:r>
    </w:p>
    <w:p w14:paraId="6A52F6C3" w14:textId="77777777" w:rsidR="007A21BA" w:rsidRDefault="0089099D">
      <w:pPr>
        <w:pStyle w:val="Heading2"/>
      </w:pPr>
      <w:r>
        <w:t>Estimating and job costing</w:t>
      </w:r>
    </w:p>
    <w:p w14:paraId="0BD19685" w14:textId="77777777" w:rsidR="007A21BA" w:rsidRDefault="0089099D">
      <w:r>
        <w:t>Accurate estimates are a core profit driver. Buyers look for disciplined measurement, pricing, material assumptions, labor planning, change-order documentation and estimated-versus-actual job performance.</w:t>
      </w:r>
    </w:p>
    <w:p w14:paraId="02883394" w14:textId="77777777" w:rsidR="007A21BA" w:rsidRDefault="0089099D">
      <w:pPr>
        <w:pStyle w:val="Heading2"/>
      </w:pPr>
      <w:r>
        <w:t>Crew quality and capacity</w:t>
      </w:r>
    </w:p>
    <w:p w14:paraId="3E2F5E47" w14:textId="77777777" w:rsidR="007A21BA" w:rsidRDefault="0089099D">
      <w:r>
        <w:t>Experienced crews can finish jobs faster and with fewer callbacks. A buyer will want to know whether the company can retain qualified field labor and whether production capacity survives an ownership change.</w:t>
      </w:r>
    </w:p>
    <w:p w14:paraId="3A409566" w14:textId="77777777" w:rsidR="007A21BA" w:rsidRDefault="0089099D">
      <w:pPr>
        <w:pStyle w:val="Heading2"/>
      </w:pPr>
      <w:r>
        <w:t>Sales process and reputation</w:t>
      </w:r>
    </w:p>
    <w:p w14:paraId="5AB03F19" w14:textId="77777777" w:rsidR="007A21BA" w:rsidRDefault="0089099D">
      <w:r>
        <w:t>Roofing is unusually sensitive to reputation. Referrals are an important source of residential business, and the industry has also faced consumer distrust after storms. A company with a strong brand, documented customer satisfaction and ethical sales practices can stand apart.</w:t>
      </w:r>
    </w:p>
    <w:p w14:paraId="36718224" w14:textId="77777777" w:rsidR="007A21BA" w:rsidRDefault="0089099D">
      <w:pPr>
        <w:pStyle w:val="Heading2"/>
      </w:pPr>
      <w:r>
        <w:t>Owner dependence</w:t>
      </w:r>
    </w:p>
    <w:p w14:paraId="3B9A73AC" w14:textId="77777777" w:rsidR="007A21BA" w:rsidRDefault="0089099D">
      <w:r>
        <w:t>If the owner personally handles estimating, sales, supplier relationships, production, key customers and problem jobs, the buyer is acquiring more transition risk.</w:t>
      </w:r>
    </w:p>
    <w:p w14:paraId="2F546A19" w14:textId="77777777" w:rsidR="007A21BA" w:rsidRDefault="0089099D">
      <w:pPr>
        <w:pStyle w:val="Heading2"/>
      </w:pPr>
      <w:r>
        <w:t>Insurance and safety</w:t>
      </w:r>
    </w:p>
    <w:p w14:paraId="5477080A" w14:textId="77777777" w:rsidR="007A21BA" w:rsidRDefault="0089099D">
      <w:r>
        <w:t>Falls, injuries and faulty workmanship can create significant exposure. Buyers will examine workers' compensation, liability coverage, claims history, safety practices and workmanship warranties.</w:t>
      </w:r>
    </w:p>
    <w:p w14:paraId="757C41FE" w14:textId="77777777" w:rsidR="007A21BA" w:rsidRDefault="0089099D">
      <w:pPr>
        <w:pStyle w:val="Heading1"/>
      </w:pPr>
      <w:r>
        <w:t>6. Margin Quality Is Built One Job at a Time</w:t>
      </w:r>
    </w:p>
    <w:p w14:paraId="3AFCAFB9" w14:textId="77777777" w:rsidR="007A21BA" w:rsidRDefault="0089099D">
      <w:r>
        <w:t>Vertical IQ reports industry gross margins averaging roughly 32% to 33% of sales. It specifically notes that simple shingle reroofing jobs can carry lower margins because of competition, while service and repair work may produce higher margins.</w:t>
      </w:r>
    </w:p>
    <w:p w14:paraId="0AEE2F31" w14:textId="77777777" w:rsidR="007A21BA" w:rsidRDefault="0089099D">
      <w:r>
        <w:t>The same research reports after-tax net profit averaging about 8% to 9% of sales. These are broad industry references, not targets for a specific company, but they highlight the importance of knowing profitability by job type rather than relying only on annual totals.</w:t>
      </w:r>
    </w:p>
    <w:p w14:paraId="6E951C40" w14:textId="77777777" w:rsidR="007A21BA" w:rsidRDefault="0089099D">
      <w:r>
        <w:t>For buyers, a contractor that can explain margin by service line, project type, salesperson or customer channel is easier to understand than a business where profitability is only visible after the year is complete.</w:t>
      </w:r>
    </w:p>
    <w:p w14:paraId="6969BEF4" w14:textId="77777777" w:rsidR="007A21BA" w:rsidRDefault="0089099D">
      <w:pPr>
        <w:pStyle w:val="Heading1"/>
      </w:pPr>
      <w:r>
        <w:lastRenderedPageBreak/>
        <w:t>7. Materials, Labor and Insurance Can Move Margins Quickly</w:t>
      </w:r>
    </w:p>
    <w:p w14:paraId="18CF92A6" w14:textId="77777777" w:rsidR="007A21BA" w:rsidRDefault="0089099D">
      <w:r>
        <w:t>Roofing economics can shift quickly because the business is exposed to material prices, labor availability and insurance costs. Vertical IQ reported that producer prices for nonresidential roofing contractors were up 4.55% year over year in July 2025.</w:t>
      </w:r>
    </w:p>
    <w:p w14:paraId="6E39B561" w14:textId="77777777" w:rsidR="007A21BA" w:rsidRDefault="0089099D">
      <w:r>
        <w:t>Average nonsupervisory roofing wages were reported at $32.99 per hour in June 2025, up 5.4% from a year earlier. Over the prior decade, roofing wages increased 50%.</w:t>
      </w:r>
    </w:p>
    <w:p w14:paraId="36F04A97" w14:textId="77777777" w:rsidR="007A21BA" w:rsidRDefault="0089099D">
      <w:r>
        <w:t>Material volatility is particularly important after storms, when sudden demand can tighten supplies and raise prices. Contractors that cannot pass increases through to customers can see margins compress even while revenue is rising.</w:t>
      </w:r>
    </w:p>
    <w:p w14:paraId="3B6A628A" w14:textId="77777777" w:rsidR="007A21BA" w:rsidRDefault="0089099D">
      <w:pPr>
        <w:pStyle w:val="Heading1"/>
      </w:pPr>
      <w:r>
        <w:t>8. Working Capital and Collections Matter</w:t>
      </w:r>
    </w:p>
    <w:p w14:paraId="7B53203F" w14:textId="77777777" w:rsidR="007A21BA" w:rsidRDefault="0089099D">
      <w:r>
        <w:t>Roofing can generate strong accounting earnings while still putting pressure on cash. Vertical IQ reports commercial payment terms that can extend 30 to 90 days, average collection periods of roughly 42 to 65 days, and receivables representing about 35% to 36% of assets.</w:t>
      </w:r>
    </w:p>
    <w:p w14:paraId="3F09021B" w14:textId="77777777" w:rsidR="007A21BA" w:rsidRDefault="0089099D">
      <w:r>
        <w:t>Residential work may produce deposits and milestone payments, while GC-driven work can create slower collections. Poor change-order documentation, project delays and disputes can extend payment timing.</w:t>
      </w:r>
    </w:p>
    <w:p w14:paraId="57A28AF7" w14:textId="77777777" w:rsidR="007A21BA" w:rsidRDefault="0089099D">
      <w:r>
        <w:t>This is one reason a buyer will pay attention not just to EBITDA or SDE, but also to receivables quality, deposits, working-capital requirements and how much cash is needed to support backlog.</w:t>
      </w:r>
    </w:p>
    <w:p w14:paraId="11BA18AC" w14:textId="77777777" w:rsidR="007A21BA" w:rsidRDefault="0089099D">
      <w:pPr>
        <w:pStyle w:val="Heading1"/>
      </w:pPr>
      <w:r>
        <w:t>9. What Can Reduce Value or Slow a Transaction</w:t>
      </w:r>
    </w:p>
    <w:p w14:paraId="2B514A63" w14:textId="77777777" w:rsidR="007A21BA" w:rsidRDefault="0089099D">
      <w:pPr>
        <w:pStyle w:val="ListBullet"/>
      </w:pPr>
      <w:r>
        <w:t>The owner personally controls most sales, estimating, production or key customer relationships.</w:t>
      </w:r>
    </w:p>
    <w:p w14:paraId="689F91E0" w14:textId="77777777" w:rsidR="007A21BA" w:rsidRDefault="0089099D">
      <w:pPr>
        <w:pStyle w:val="ListBullet"/>
      </w:pPr>
      <w:r>
        <w:t>One lead source, general contractor, property manager or insurance relationship drives an outsized share of revenue.</w:t>
      </w:r>
    </w:p>
    <w:p w14:paraId="4CAC3D61" w14:textId="77777777" w:rsidR="007A21BA" w:rsidRDefault="0089099D">
      <w:pPr>
        <w:pStyle w:val="ListBullet"/>
      </w:pPr>
      <w:r>
        <w:t>Strong revenue growth is storm-driven but difficult to reproduce in a normal year.</w:t>
      </w:r>
    </w:p>
    <w:p w14:paraId="06BB8783" w14:textId="77777777" w:rsidR="007A21BA" w:rsidRDefault="0089099D">
      <w:pPr>
        <w:pStyle w:val="ListBullet"/>
      </w:pPr>
      <w:r>
        <w:t>Financial statements do not clearly separate ordinary earnings from one-time storm or catastrophe activity.</w:t>
      </w:r>
    </w:p>
    <w:p w14:paraId="634A54D3" w14:textId="77777777" w:rsidR="007A21BA" w:rsidRDefault="0089099D">
      <w:pPr>
        <w:pStyle w:val="ListBullet"/>
      </w:pPr>
      <w:r>
        <w:t>Job costing is weak or estimated-to-actual margins are not tracked.</w:t>
      </w:r>
    </w:p>
    <w:p w14:paraId="35A5113F" w14:textId="77777777" w:rsidR="007A21BA" w:rsidRDefault="0089099D">
      <w:pPr>
        <w:pStyle w:val="ListBullet"/>
      </w:pPr>
      <w:r>
        <w:t>Subcontractor or crew relationships are informal and may not survive a transition.</w:t>
      </w:r>
    </w:p>
    <w:p w14:paraId="18937BA0" w14:textId="77777777" w:rsidR="007A21BA" w:rsidRDefault="0089099D">
      <w:pPr>
        <w:pStyle w:val="ListBullet"/>
      </w:pPr>
      <w:r>
        <w:t>Workers' compensation, general liability or claims history creates uncertainty.</w:t>
      </w:r>
    </w:p>
    <w:p w14:paraId="6CFA6584" w14:textId="77777777" w:rsidR="007A21BA" w:rsidRDefault="0089099D">
      <w:pPr>
        <w:pStyle w:val="ListBullet"/>
      </w:pPr>
      <w:r>
        <w:t>Customer complaints, warranty issues or poor online reputation create brand risk.</w:t>
      </w:r>
    </w:p>
    <w:p w14:paraId="5D15623A" w14:textId="77777777" w:rsidR="007A21BA" w:rsidRDefault="0089099D">
      <w:pPr>
        <w:pStyle w:val="ListBullet"/>
      </w:pPr>
      <w:r>
        <w:t>Material-price changes are not consistently passed through to customers.</w:t>
      </w:r>
    </w:p>
    <w:p w14:paraId="18662CDB" w14:textId="77777777" w:rsidR="007A21BA" w:rsidRDefault="0089099D">
      <w:pPr>
        <w:pStyle w:val="ListBullet"/>
      </w:pPr>
      <w:r>
        <w:t>Backlog is large but margins, start dates or customer commitments are uncertain.</w:t>
      </w:r>
    </w:p>
    <w:p w14:paraId="22D3829C" w14:textId="77777777" w:rsidR="007A21BA" w:rsidRDefault="0089099D">
      <w:pPr>
        <w:pStyle w:val="ListBullet"/>
      </w:pPr>
      <w:r>
        <w:t>Receivables are aged, disputed or dependent on GC payment timing.</w:t>
      </w:r>
    </w:p>
    <w:p w14:paraId="2746653A" w14:textId="77777777" w:rsidR="007A21BA" w:rsidRDefault="0089099D">
      <w:r>
        <w:t>None of these issues automatically prevents a sale. They create uncertainty, and uncertainty tends to show up in price, structure, diligence requirements or closing risk.</w:t>
      </w:r>
    </w:p>
    <w:p w14:paraId="52A631A5" w14:textId="77777777" w:rsidR="007A21BA" w:rsidRDefault="0089099D">
      <w:pPr>
        <w:pStyle w:val="Heading1"/>
      </w:pPr>
      <w:r>
        <w:t>10. Why Two Similar Roofers Can Sell for Very Different Amounts</w:t>
      </w:r>
    </w:p>
    <w:tbl>
      <w:tblPr>
        <w:tblStyle w:val="TableGrid"/>
        <w:tblW w:w="0" w:type="auto"/>
        <w:jc w:val="center"/>
        <w:tblLook w:val="04A0" w:firstRow="1" w:lastRow="0" w:firstColumn="1" w:lastColumn="0" w:noHBand="0" w:noVBand="1"/>
      </w:tblPr>
      <w:tblGrid>
        <w:gridCol w:w="3386"/>
        <w:gridCol w:w="3385"/>
        <w:gridCol w:w="3385"/>
      </w:tblGrid>
      <w:tr w:rsidR="007A21BA" w14:paraId="39B2B55E" w14:textId="77777777">
        <w:trPr>
          <w:jc w:val="center"/>
        </w:trPr>
        <w:tc>
          <w:tcPr>
            <w:tcW w:w="3389" w:type="dxa"/>
            <w:shd w:val="clear" w:color="auto" w:fill="123D52"/>
            <w:vAlign w:val="center"/>
          </w:tcPr>
          <w:p w14:paraId="4CCB5D09" w14:textId="77777777" w:rsidR="007A21BA" w:rsidRDefault="007A21BA">
            <w:pPr>
              <w:jc w:val="center"/>
            </w:pPr>
          </w:p>
        </w:tc>
        <w:tc>
          <w:tcPr>
            <w:tcW w:w="3389" w:type="dxa"/>
            <w:shd w:val="clear" w:color="auto" w:fill="123D52"/>
            <w:vAlign w:val="center"/>
          </w:tcPr>
          <w:p w14:paraId="30BCF0CC" w14:textId="77777777" w:rsidR="007A21BA" w:rsidRDefault="0089099D">
            <w:pPr>
              <w:jc w:val="center"/>
            </w:pPr>
            <w:r>
              <w:rPr>
                <w:b/>
                <w:color w:val="FFFFFF"/>
                <w:sz w:val="19"/>
              </w:rPr>
              <w:t>Company A</w:t>
            </w:r>
          </w:p>
        </w:tc>
        <w:tc>
          <w:tcPr>
            <w:tcW w:w="3389" w:type="dxa"/>
            <w:shd w:val="clear" w:color="auto" w:fill="123D52"/>
            <w:vAlign w:val="center"/>
          </w:tcPr>
          <w:p w14:paraId="5B6E835F" w14:textId="77777777" w:rsidR="007A21BA" w:rsidRDefault="0089099D">
            <w:pPr>
              <w:jc w:val="center"/>
            </w:pPr>
            <w:r>
              <w:rPr>
                <w:b/>
                <w:color w:val="FFFFFF"/>
                <w:sz w:val="19"/>
              </w:rPr>
              <w:t>Company B</w:t>
            </w:r>
          </w:p>
        </w:tc>
      </w:tr>
      <w:tr w:rsidR="007A21BA" w14:paraId="2C6D0FA9" w14:textId="77777777">
        <w:trPr>
          <w:jc w:val="center"/>
        </w:trPr>
        <w:tc>
          <w:tcPr>
            <w:tcW w:w="3389" w:type="dxa"/>
            <w:vAlign w:val="center"/>
          </w:tcPr>
          <w:p w14:paraId="17E4B988" w14:textId="77777777" w:rsidR="007A21BA" w:rsidRDefault="0089099D">
            <w:r>
              <w:rPr>
                <w:b/>
                <w:color w:val="123D52"/>
                <w:sz w:val="18"/>
              </w:rPr>
              <w:t>Revenue mix</w:t>
            </w:r>
          </w:p>
        </w:tc>
        <w:tc>
          <w:tcPr>
            <w:tcW w:w="3389" w:type="dxa"/>
            <w:vAlign w:val="center"/>
          </w:tcPr>
          <w:p w14:paraId="3CAE5CD7" w14:textId="77777777" w:rsidR="007A21BA" w:rsidRDefault="0089099D">
            <w:r>
              <w:rPr>
                <w:sz w:val="18"/>
              </w:rPr>
              <w:t>Storm-heavy residential reroofing</w:t>
            </w:r>
          </w:p>
        </w:tc>
        <w:tc>
          <w:tcPr>
            <w:tcW w:w="3389" w:type="dxa"/>
            <w:vAlign w:val="center"/>
          </w:tcPr>
          <w:p w14:paraId="082C740F" w14:textId="77777777" w:rsidR="007A21BA" w:rsidRDefault="0089099D">
            <w:r>
              <w:rPr>
                <w:sz w:val="18"/>
              </w:rPr>
              <w:t>Diversified reroof, service, commercial and repeat work</w:t>
            </w:r>
          </w:p>
        </w:tc>
      </w:tr>
      <w:tr w:rsidR="007A21BA" w14:paraId="52CBC665" w14:textId="77777777">
        <w:trPr>
          <w:jc w:val="center"/>
        </w:trPr>
        <w:tc>
          <w:tcPr>
            <w:tcW w:w="3389" w:type="dxa"/>
            <w:vAlign w:val="center"/>
          </w:tcPr>
          <w:p w14:paraId="6EFE8050" w14:textId="77777777" w:rsidR="007A21BA" w:rsidRDefault="0089099D">
            <w:r>
              <w:rPr>
                <w:b/>
                <w:color w:val="123D52"/>
                <w:sz w:val="18"/>
              </w:rPr>
              <w:t>Lead sources</w:t>
            </w:r>
          </w:p>
        </w:tc>
        <w:tc>
          <w:tcPr>
            <w:tcW w:w="3389" w:type="dxa"/>
            <w:vAlign w:val="center"/>
          </w:tcPr>
          <w:p w14:paraId="348D6690" w14:textId="77777777" w:rsidR="007A21BA" w:rsidRDefault="0089099D">
            <w:r>
              <w:rPr>
                <w:sz w:val="18"/>
              </w:rPr>
              <w:t>Owner and one marketing channel</w:t>
            </w:r>
          </w:p>
        </w:tc>
        <w:tc>
          <w:tcPr>
            <w:tcW w:w="3389" w:type="dxa"/>
            <w:vAlign w:val="center"/>
          </w:tcPr>
          <w:p w14:paraId="2FA47290" w14:textId="77777777" w:rsidR="007A21BA" w:rsidRDefault="0089099D">
            <w:r>
              <w:rPr>
                <w:sz w:val="18"/>
              </w:rPr>
              <w:t>Multiple channels and strong referrals</w:t>
            </w:r>
          </w:p>
        </w:tc>
      </w:tr>
      <w:tr w:rsidR="007A21BA" w14:paraId="5A301516" w14:textId="77777777">
        <w:trPr>
          <w:jc w:val="center"/>
        </w:trPr>
        <w:tc>
          <w:tcPr>
            <w:tcW w:w="3389" w:type="dxa"/>
            <w:vAlign w:val="center"/>
          </w:tcPr>
          <w:p w14:paraId="6E86E07D" w14:textId="77777777" w:rsidR="007A21BA" w:rsidRDefault="0089099D">
            <w:r>
              <w:rPr>
                <w:b/>
                <w:color w:val="123D52"/>
                <w:sz w:val="18"/>
              </w:rPr>
              <w:t>Margins</w:t>
            </w:r>
          </w:p>
        </w:tc>
        <w:tc>
          <w:tcPr>
            <w:tcW w:w="3389" w:type="dxa"/>
            <w:vAlign w:val="center"/>
          </w:tcPr>
          <w:p w14:paraId="475F0668" w14:textId="77777777" w:rsidR="007A21BA" w:rsidRDefault="0089099D">
            <w:r>
              <w:rPr>
                <w:sz w:val="18"/>
              </w:rPr>
              <w:t>Annual totals only</w:t>
            </w:r>
          </w:p>
        </w:tc>
        <w:tc>
          <w:tcPr>
            <w:tcW w:w="3389" w:type="dxa"/>
            <w:vAlign w:val="center"/>
          </w:tcPr>
          <w:p w14:paraId="2385AC4F" w14:textId="77777777" w:rsidR="007A21BA" w:rsidRDefault="0089099D">
            <w:r>
              <w:rPr>
                <w:sz w:val="18"/>
              </w:rPr>
              <w:t>Job-level margin visibility</w:t>
            </w:r>
          </w:p>
        </w:tc>
      </w:tr>
      <w:tr w:rsidR="007A21BA" w14:paraId="4F2CEA54" w14:textId="77777777">
        <w:trPr>
          <w:jc w:val="center"/>
        </w:trPr>
        <w:tc>
          <w:tcPr>
            <w:tcW w:w="3389" w:type="dxa"/>
            <w:vAlign w:val="center"/>
          </w:tcPr>
          <w:p w14:paraId="01A5C44A" w14:textId="77777777" w:rsidR="007A21BA" w:rsidRDefault="0089099D">
            <w:r>
              <w:rPr>
                <w:b/>
                <w:color w:val="123D52"/>
                <w:sz w:val="18"/>
              </w:rPr>
              <w:t>Workforce</w:t>
            </w:r>
          </w:p>
        </w:tc>
        <w:tc>
          <w:tcPr>
            <w:tcW w:w="3389" w:type="dxa"/>
            <w:vAlign w:val="center"/>
          </w:tcPr>
          <w:p w14:paraId="4F67EF72" w14:textId="77777777" w:rsidR="007A21BA" w:rsidRDefault="0089099D">
            <w:r>
              <w:rPr>
                <w:sz w:val="18"/>
              </w:rPr>
              <w:t>Owner-dependent crews</w:t>
            </w:r>
          </w:p>
        </w:tc>
        <w:tc>
          <w:tcPr>
            <w:tcW w:w="3389" w:type="dxa"/>
            <w:vAlign w:val="center"/>
          </w:tcPr>
          <w:p w14:paraId="6159DAD4" w14:textId="77777777" w:rsidR="007A21BA" w:rsidRDefault="0089099D">
            <w:r>
              <w:rPr>
                <w:sz w:val="18"/>
              </w:rPr>
              <w:t>Stable production leadership and crews</w:t>
            </w:r>
          </w:p>
        </w:tc>
      </w:tr>
      <w:tr w:rsidR="007A21BA" w14:paraId="2A70F7F3" w14:textId="77777777">
        <w:trPr>
          <w:jc w:val="center"/>
        </w:trPr>
        <w:tc>
          <w:tcPr>
            <w:tcW w:w="3389" w:type="dxa"/>
            <w:vAlign w:val="center"/>
          </w:tcPr>
          <w:p w14:paraId="09268743" w14:textId="77777777" w:rsidR="007A21BA" w:rsidRDefault="0089099D">
            <w:r>
              <w:rPr>
                <w:b/>
                <w:color w:val="123D52"/>
                <w:sz w:val="18"/>
              </w:rPr>
              <w:t>Reputation</w:t>
            </w:r>
          </w:p>
        </w:tc>
        <w:tc>
          <w:tcPr>
            <w:tcW w:w="3389" w:type="dxa"/>
            <w:vAlign w:val="center"/>
          </w:tcPr>
          <w:p w14:paraId="261FDAA7" w14:textId="77777777" w:rsidR="007A21BA" w:rsidRDefault="0089099D">
            <w:r>
              <w:rPr>
                <w:sz w:val="18"/>
              </w:rPr>
              <w:t>Mixed reviews and callbacks</w:t>
            </w:r>
          </w:p>
        </w:tc>
        <w:tc>
          <w:tcPr>
            <w:tcW w:w="3389" w:type="dxa"/>
            <w:vAlign w:val="center"/>
          </w:tcPr>
          <w:p w14:paraId="2F13ECD2" w14:textId="77777777" w:rsidR="007A21BA" w:rsidRDefault="0089099D">
            <w:r>
              <w:rPr>
                <w:sz w:val="18"/>
              </w:rPr>
              <w:t>Strong reviews, low rework and documented quality</w:t>
            </w:r>
          </w:p>
        </w:tc>
      </w:tr>
      <w:tr w:rsidR="007A21BA" w14:paraId="05F7196C" w14:textId="77777777">
        <w:trPr>
          <w:jc w:val="center"/>
        </w:trPr>
        <w:tc>
          <w:tcPr>
            <w:tcW w:w="3389" w:type="dxa"/>
            <w:vAlign w:val="center"/>
          </w:tcPr>
          <w:p w14:paraId="4AE4FFF1" w14:textId="77777777" w:rsidR="007A21BA" w:rsidRDefault="0089099D">
            <w:r>
              <w:rPr>
                <w:b/>
                <w:color w:val="123D52"/>
                <w:sz w:val="18"/>
              </w:rPr>
              <w:lastRenderedPageBreak/>
              <w:t>Financials</w:t>
            </w:r>
          </w:p>
        </w:tc>
        <w:tc>
          <w:tcPr>
            <w:tcW w:w="3389" w:type="dxa"/>
            <w:vAlign w:val="center"/>
          </w:tcPr>
          <w:p w14:paraId="4E3B9226" w14:textId="77777777" w:rsidR="007A21BA" w:rsidRDefault="0089099D">
            <w:r>
              <w:rPr>
                <w:sz w:val="18"/>
              </w:rPr>
              <w:t>Tax-driven reporting</w:t>
            </w:r>
          </w:p>
        </w:tc>
        <w:tc>
          <w:tcPr>
            <w:tcW w:w="3389" w:type="dxa"/>
            <w:vAlign w:val="center"/>
          </w:tcPr>
          <w:p w14:paraId="5E628E39" w14:textId="77777777" w:rsidR="007A21BA" w:rsidRDefault="0089099D">
            <w:r>
              <w:rPr>
                <w:sz w:val="18"/>
              </w:rPr>
              <w:t>Clean reporting with normalized storm impacts</w:t>
            </w:r>
          </w:p>
        </w:tc>
      </w:tr>
    </w:tbl>
    <w:p w14:paraId="7396E93F" w14:textId="77777777" w:rsidR="007A21BA" w:rsidRDefault="0089099D">
      <w:r>
        <w:t>The companies may have similar revenue and earnings on paper. Company B generally presents less transition risk and a more durable operating model.</w:t>
      </w:r>
    </w:p>
    <w:p w14:paraId="7F7F0BBF" w14:textId="77777777" w:rsidR="007A21BA" w:rsidRDefault="0089099D">
      <w:pPr>
        <w:pStyle w:val="Heading1"/>
      </w:pPr>
      <w:r>
        <w:t>11. How to Read the Multiples</w:t>
      </w:r>
    </w:p>
    <w:p w14:paraId="47F293F3" w14:textId="77777777" w:rsidR="007A21BA" w:rsidRDefault="0089099D">
      <w:r>
        <w:t>The Florida transaction data averaged 0.489x revenue and 2.97x discretionary earnings. A separate DealStats dataset summarized by Vertical IQ included 191 roofing and siding contractor transactions with a median price-to-sales multiple of 0.39x, and 169 transactions with a median price-to-SDE multiple of 2.25x.</w:t>
      </w:r>
    </w:p>
    <w:p w14:paraId="4022AAF8" w14:textId="77777777" w:rsidR="007A21BA" w:rsidRDefault="0089099D">
      <w:r>
        <w:t>The Florida dataset shows higher average earnings and sale size than the broad national sample, which is another reason not to apply a single multiple mechanically. Size, revenue quality, management depth, storm exposure, service mix, customer concentration and earnings consistency can all affect buyer perception.</w:t>
      </w:r>
    </w:p>
    <w:tbl>
      <w:tblPr>
        <w:tblW w:w="0" w:type="auto"/>
        <w:jc w:val="center"/>
        <w:tblLook w:val="04A0" w:firstRow="1" w:lastRow="0" w:firstColumn="1" w:lastColumn="0" w:noHBand="0" w:noVBand="1"/>
      </w:tblPr>
      <w:tblGrid>
        <w:gridCol w:w="10166"/>
      </w:tblGrid>
      <w:tr w:rsidR="007A21BA" w14:paraId="17AB62C9" w14:textId="77777777">
        <w:trPr>
          <w:jc w:val="center"/>
        </w:trPr>
        <w:tc>
          <w:tcPr>
            <w:tcW w:w="10166" w:type="dxa"/>
            <w:shd w:val="clear" w:color="auto" w:fill="EEF3F4"/>
          </w:tcPr>
          <w:p w14:paraId="0D05AFD5" w14:textId="77777777" w:rsidR="007A21BA" w:rsidRDefault="0089099D">
            <w:r>
              <w:rPr>
                <w:b/>
                <w:color w:val="123D52"/>
                <w:sz w:val="22"/>
              </w:rPr>
              <w:t>The practical takeaway</w:t>
            </w:r>
          </w:p>
          <w:p w14:paraId="2E3739A6" w14:textId="77777777" w:rsidR="007A21BA" w:rsidRDefault="0089099D">
            <w:r>
              <w:rPr>
                <w:color w:val="243238"/>
              </w:rPr>
              <w:t>Start with the business, not the multiple. Improve transferability, margin visibility, crew stability, lead-source diversity and financial reporting. The multiple tends to follow the quality and certainty of the business.</w:t>
            </w:r>
          </w:p>
        </w:tc>
      </w:tr>
    </w:tbl>
    <w:p w14:paraId="24F96574" w14:textId="77777777" w:rsidR="007A21BA" w:rsidRDefault="0089099D">
      <w:pPr>
        <w:pStyle w:val="Heading1"/>
      </w:pPr>
      <w:r>
        <w:t>12. What an Owner Can Do Before a Sale Is on the Calendar</w:t>
      </w:r>
    </w:p>
    <w:p w14:paraId="0EB5E1F8" w14:textId="77777777" w:rsidR="007A21BA" w:rsidRDefault="0089099D">
      <w:r>
        <w:rPr>
          <w:b/>
          <w:color w:val="123D52"/>
        </w:rPr>
        <w:t xml:space="preserve">Know the revenue mix. </w:t>
      </w:r>
      <w:r>
        <w:t>Track new construction, reroofing, repair, maintenance, commercial, residential and storm-related revenue separately.</w:t>
      </w:r>
    </w:p>
    <w:p w14:paraId="72AA9DDD" w14:textId="77777777" w:rsidR="007A21BA" w:rsidRDefault="0089099D">
      <w:r>
        <w:rPr>
          <w:b/>
          <w:color w:val="123D52"/>
        </w:rPr>
        <w:t xml:space="preserve">Normalize storm years. </w:t>
      </w:r>
      <w:r>
        <w:t>Understand what earnings look like in an ordinary year and what portion of performance came from unusual catastrophe activity.</w:t>
      </w:r>
    </w:p>
    <w:p w14:paraId="16771F06" w14:textId="77777777" w:rsidR="007A21BA" w:rsidRDefault="0089099D">
      <w:r>
        <w:rPr>
          <w:b/>
          <w:color w:val="123D52"/>
        </w:rPr>
        <w:t xml:space="preserve">Track lead sources. </w:t>
      </w:r>
      <w:r>
        <w:t>Know where every sold job originated and what each acquisition channel costs.</w:t>
      </w:r>
    </w:p>
    <w:p w14:paraId="72EDE6D8" w14:textId="77777777" w:rsidR="007A21BA" w:rsidRDefault="0089099D">
      <w:r>
        <w:rPr>
          <w:b/>
          <w:color w:val="123D52"/>
        </w:rPr>
        <w:t xml:space="preserve">Measure job-level margins. </w:t>
      </w:r>
      <w:r>
        <w:t>Compare estimated labor, materials and gross profit with actual performance.</w:t>
      </w:r>
    </w:p>
    <w:p w14:paraId="2BBDD91E" w14:textId="77777777" w:rsidR="007A21BA" w:rsidRDefault="0089099D">
      <w:r>
        <w:rPr>
          <w:b/>
          <w:color w:val="123D52"/>
        </w:rPr>
        <w:t xml:space="preserve">Reduce customer concentration. </w:t>
      </w:r>
      <w:r>
        <w:t>Broaden commercial, GC, property-management and direct-customer relationships where practical.</w:t>
      </w:r>
    </w:p>
    <w:p w14:paraId="2D3F1610" w14:textId="77777777" w:rsidR="007A21BA" w:rsidRDefault="0089099D">
      <w:r>
        <w:rPr>
          <w:b/>
          <w:color w:val="123D52"/>
        </w:rPr>
        <w:t xml:space="preserve">Develop production leadership. </w:t>
      </w:r>
      <w:r>
        <w:t>Make sure scheduling, quality control and field supervision do not live entirely with the owner.</w:t>
      </w:r>
    </w:p>
    <w:p w14:paraId="683E2632" w14:textId="77777777" w:rsidR="007A21BA" w:rsidRDefault="0089099D">
      <w:r>
        <w:rPr>
          <w:b/>
          <w:color w:val="123D52"/>
        </w:rPr>
        <w:t xml:space="preserve">Protect the workforce. </w:t>
      </w:r>
      <w:r>
        <w:t>Retain good crews, supervisors and salespeople, and document the relationships that matter.</w:t>
      </w:r>
    </w:p>
    <w:p w14:paraId="334C49D2" w14:textId="77777777" w:rsidR="007A21BA" w:rsidRDefault="0089099D">
      <w:r>
        <w:rPr>
          <w:b/>
          <w:color w:val="123D52"/>
        </w:rPr>
        <w:t xml:space="preserve">Build the reputation asset. </w:t>
      </w:r>
      <w:r>
        <w:t>Reviews, referrals, warranty practices and customer follow-up should belong to the company.</w:t>
      </w:r>
    </w:p>
    <w:p w14:paraId="10B8C838" w14:textId="77777777" w:rsidR="007A21BA" w:rsidRDefault="0089099D">
      <w:r>
        <w:rPr>
          <w:b/>
          <w:color w:val="123D52"/>
        </w:rPr>
        <w:t xml:space="preserve">Clean up financial reporting. </w:t>
      </w:r>
      <w:r>
        <w:t>Make normalized earnings, owner adjustments and working-capital needs easy to understand.</w:t>
      </w:r>
    </w:p>
    <w:p w14:paraId="1BE5D866" w14:textId="77777777" w:rsidR="007A21BA" w:rsidRDefault="0089099D">
      <w:r>
        <w:rPr>
          <w:b/>
          <w:color w:val="123D52"/>
        </w:rPr>
        <w:t xml:space="preserve">Plan on time. </w:t>
      </w:r>
      <w:r>
        <w:t>The Florida transactions reviewed averaged 406 days on market. A controlled transition benefits from preparation.</w:t>
      </w:r>
    </w:p>
    <w:p w14:paraId="5BAB828A" w14:textId="77777777" w:rsidR="007A21BA" w:rsidRDefault="0089099D">
      <w:pPr>
        <w:pStyle w:val="Heading1"/>
      </w:pPr>
      <w:r>
        <w:t>13. Questions Worth Asking Yourself</w:t>
      </w:r>
    </w:p>
    <w:p w14:paraId="5DBBDEE5" w14:textId="77777777" w:rsidR="007A21BA" w:rsidRDefault="0089099D">
      <w:pPr>
        <w:pStyle w:val="ListBullet"/>
      </w:pPr>
      <w:r>
        <w:t>If I stepped away for 60 days, which parts of the company would slow down or stop?</w:t>
      </w:r>
    </w:p>
    <w:p w14:paraId="0B62CD36" w14:textId="77777777" w:rsidR="007A21BA" w:rsidRDefault="0089099D">
      <w:pPr>
        <w:pStyle w:val="ListBullet"/>
      </w:pPr>
      <w:r>
        <w:t>What percentage of revenue comes from storm-related work versus normal recurring demand?</w:t>
      </w:r>
    </w:p>
    <w:p w14:paraId="6867582C" w14:textId="77777777" w:rsidR="007A21BA" w:rsidRDefault="0089099D">
      <w:pPr>
        <w:pStyle w:val="ListBullet"/>
      </w:pPr>
      <w:r>
        <w:t>Which lead sources would continue if I were no longer the face of the company?</w:t>
      </w:r>
    </w:p>
    <w:p w14:paraId="5FAE7BBB" w14:textId="77777777" w:rsidR="007A21BA" w:rsidRDefault="0089099D">
      <w:pPr>
        <w:pStyle w:val="ListBullet"/>
      </w:pPr>
      <w:r>
        <w:t>Can we explain gross margin by job type and salesperson?</w:t>
      </w:r>
    </w:p>
    <w:p w14:paraId="43CD966A" w14:textId="77777777" w:rsidR="007A21BA" w:rsidRDefault="0089099D">
      <w:pPr>
        <w:pStyle w:val="ListBullet"/>
      </w:pPr>
      <w:r>
        <w:t>How concentrated are our top customers, GCs and referral partners?</w:t>
      </w:r>
    </w:p>
    <w:p w14:paraId="41104669" w14:textId="77777777" w:rsidR="007A21BA" w:rsidRDefault="0089099D">
      <w:pPr>
        <w:pStyle w:val="ListBullet"/>
      </w:pPr>
      <w:r>
        <w:t>Do our crews and production leadership stay with the company after a transition?</w:t>
      </w:r>
    </w:p>
    <w:p w14:paraId="286A052F" w14:textId="77777777" w:rsidR="007A21BA" w:rsidRDefault="0089099D">
      <w:pPr>
        <w:pStyle w:val="ListBullet"/>
      </w:pPr>
      <w:r>
        <w:t>If I wanted the option to sell in three years, what would I wish I had started fixing today?</w:t>
      </w:r>
    </w:p>
    <w:p w14:paraId="0655AA27" w14:textId="77777777" w:rsidR="007A21BA" w:rsidRDefault="0089099D">
      <w:pPr>
        <w:pStyle w:val="Heading1"/>
      </w:pPr>
      <w:r>
        <w:lastRenderedPageBreak/>
        <w:t>Bottom Line</w:t>
      </w:r>
    </w:p>
    <w:p w14:paraId="1F6D57FC" w14:textId="77777777" w:rsidR="007A21BA" w:rsidRDefault="0089099D">
      <w:r>
        <w:t>Florida is one of the largest roofing markets in the country, with significant demand from construction, reroofing, repair, maintenance and storm-related work. The same forces that create opportunity also create volatility in materials, labor, insurance and customer acquisition.</w:t>
      </w:r>
    </w:p>
    <w:p w14:paraId="40D532C4" w14:textId="77777777" w:rsidR="007A21BA" w:rsidRDefault="0089099D">
      <w:r>
        <w:t>The 42 completed Florida transactions show that buyers are actively acquiring roofing businesses, but the transaction averages are only a starting point. The quality and transferability of the company determine how the market is likely to respond.</w:t>
      </w:r>
    </w:p>
    <w:p w14:paraId="4E096956" w14:textId="77777777" w:rsidR="007A21BA" w:rsidRDefault="0089099D">
      <w:r>
        <w:rPr>
          <w:b/>
          <w:color w:val="123D52"/>
        </w:rPr>
        <w:t xml:space="preserve">A strong roofing company gives its owner choices. </w:t>
      </w:r>
      <w:r>
        <w:t>Diversified demand, disciplined estimating, good crews, clean financials, strong reputation and less owner dependence can make the business easier to operate today and easier to transition someday.</w:t>
      </w:r>
    </w:p>
    <w:p w14:paraId="5A1AE3CE" w14:textId="77777777" w:rsidR="007A21BA" w:rsidRDefault="0089099D">
      <w:pPr>
        <w:pStyle w:val="Heading1"/>
      </w:pPr>
      <w:r>
        <w:t>About Todd Topliff</w:t>
      </w:r>
    </w:p>
    <w:p w14:paraId="54A22E53" w14:textId="77777777" w:rsidR="007A21BA" w:rsidRDefault="0089099D">
      <w:r>
        <w:t>Todd Topliff is a Business Broker and Transaction Advisor with Corporate Investment Business Brokers. He works with established owner-operated businesses throughout Florida, helping owners understand value, prepare for eventual transitions and navigate confidential business sales.</w:t>
      </w:r>
    </w:p>
    <w:p w14:paraId="6CD813D8" w14:textId="77777777" w:rsidR="007A21BA" w:rsidRDefault="0089099D">
      <w:r>
        <w:rPr>
          <w:b/>
        </w:rPr>
        <w:t>Confidential conversations are always welcome.</w:t>
      </w:r>
    </w:p>
    <w:p w14:paraId="387E42AD" w14:textId="77777777" w:rsidR="007A21BA" w:rsidRDefault="0089099D">
      <w:r>
        <w:br w:type="page"/>
      </w:r>
    </w:p>
    <w:p w14:paraId="5ED0AE67" w14:textId="77777777" w:rsidR="007A21BA" w:rsidRDefault="0089099D">
      <w:pPr>
        <w:pStyle w:val="Heading1"/>
      </w:pPr>
      <w:r>
        <w:lastRenderedPageBreak/>
        <w:t>Sources &amp; Important Notes</w:t>
      </w:r>
    </w:p>
    <w:p w14:paraId="06BF912B" w14:textId="77777777" w:rsidR="007A21BA" w:rsidRDefault="0089099D">
      <w:pPr>
        <w:pStyle w:val="ListBullet"/>
      </w:pPr>
      <w:r>
        <w:t>Florida closed-transaction data supplied by Todd Topliff: 42 completed roofing contractor transactions and associated averages/ratios.</w:t>
      </w:r>
    </w:p>
    <w:p w14:paraId="7E30D9BC" w14:textId="77777777" w:rsidR="007A21BA" w:rsidRDefault="0089099D">
      <w:pPr>
        <w:pStyle w:val="ListBullet"/>
      </w:pPr>
      <w:r>
        <w:t>Vertical IQ, Roofing and Siding Contractors, prepared August 18, 2025, NAICS 238160 and 238170.</w:t>
      </w:r>
    </w:p>
    <w:p w14:paraId="331E0D90" w14:textId="77777777" w:rsidR="007A21BA" w:rsidRDefault="0089099D">
      <w:pPr>
        <w:pStyle w:val="ListBullet"/>
      </w:pPr>
      <w:r>
        <w:t>Vertical IQ valuation summary citing DealStats roofing and siding contractor transaction data through June 12, 2025.</w:t>
      </w:r>
    </w:p>
    <w:p w14:paraId="22FB285A" w14:textId="77777777" w:rsidR="007A21BA" w:rsidRDefault="0089099D">
      <w:pPr>
        <w:pStyle w:val="ListBullet"/>
      </w:pPr>
      <w:r>
        <w:t>Industry financial benchmarks cited in the report are broad industry references and are not company-specific targets.</w:t>
      </w:r>
    </w:p>
    <w:p w14:paraId="1847D2C6" w14:textId="77777777" w:rsidR="007A21BA" w:rsidRDefault="0089099D">
      <w:r>
        <w:rPr>
          <w:b/>
        </w:rPr>
        <w:t xml:space="preserve">Important: </w:t>
      </w:r>
      <w:r>
        <w:t>This market brief is general educational information. Transaction averages and industry benchmarks are not a valuation of any specific company and should not be applied mechanically. A company-specific analysis requires review of financial performance, revenue mix, customer concentration, workforce, storm exposure, owner involvement, assets, liabilities and other transaction-specific factors.</w:t>
      </w:r>
    </w:p>
    <w:sectPr w:rsidR="007A21BA" w:rsidSect="00034616">
      <w:headerReference w:type="default" r:id="rId8"/>
      <w:footerReference w:type="default" r:id="rId9"/>
      <w:pgSz w:w="12240" w:h="15840"/>
      <w:pgMar w:top="936" w:right="1037" w:bottom="936" w:left="10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FA470" w14:textId="77777777" w:rsidR="0089099D" w:rsidRDefault="0089099D">
      <w:pPr>
        <w:spacing w:after="0" w:line="240" w:lineRule="auto"/>
      </w:pPr>
      <w:r>
        <w:separator/>
      </w:r>
    </w:p>
  </w:endnote>
  <w:endnote w:type="continuationSeparator" w:id="0">
    <w:p w14:paraId="02990801" w14:textId="77777777" w:rsidR="0089099D" w:rsidRDefault="00890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0DD2A" w14:textId="77777777" w:rsidR="007A21BA" w:rsidRDefault="0089099D">
    <w:pPr>
      <w:pStyle w:val="Footer"/>
      <w:jc w:val="center"/>
    </w:pPr>
    <w:r>
      <w:rPr>
        <w:color w:val="666666"/>
        <w:sz w:val="16"/>
      </w:rPr>
      <w:t>Florida Roofing Contractor Market Brief |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19AE8" w14:textId="77777777" w:rsidR="0089099D" w:rsidRDefault="0089099D">
      <w:pPr>
        <w:spacing w:after="0" w:line="240" w:lineRule="auto"/>
      </w:pPr>
      <w:r>
        <w:separator/>
      </w:r>
    </w:p>
  </w:footnote>
  <w:footnote w:type="continuationSeparator" w:id="0">
    <w:p w14:paraId="5EC82459" w14:textId="77777777" w:rsidR="0089099D" w:rsidRDefault="008909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40611" w14:textId="77777777" w:rsidR="007A21BA" w:rsidRDefault="0089099D">
    <w:pPr>
      <w:pStyle w:val="Header"/>
      <w:jc w:val="right"/>
    </w:pPr>
    <w:r>
      <w:rPr>
        <w:color w:val="666666"/>
        <w:sz w:val="16"/>
      </w:rPr>
      <w:t xml:space="preserve">TODD </w:t>
    </w:r>
    <w:proofErr w:type="gramStart"/>
    <w:r>
      <w:rPr>
        <w:color w:val="666666"/>
        <w:sz w:val="16"/>
      </w:rPr>
      <w:t>TOPLIFF  |</w:t>
    </w:r>
    <w:proofErr w:type="gramEnd"/>
    <w:r>
      <w:rPr>
        <w:color w:val="666666"/>
        <w:sz w:val="16"/>
      </w:rPr>
      <w:t xml:space="preserve">  BUSINESS BROKER &amp; TRANSACTION ADVISOR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53222627">
    <w:abstractNumId w:val="8"/>
  </w:num>
  <w:num w:numId="2" w16cid:durableId="1488353033">
    <w:abstractNumId w:val="6"/>
  </w:num>
  <w:num w:numId="3" w16cid:durableId="1693648300">
    <w:abstractNumId w:val="5"/>
  </w:num>
  <w:num w:numId="4" w16cid:durableId="687099667">
    <w:abstractNumId w:val="4"/>
  </w:num>
  <w:num w:numId="5" w16cid:durableId="1860466682">
    <w:abstractNumId w:val="7"/>
  </w:num>
  <w:num w:numId="6" w16cid:durableId="237374675">
    <w:abstractNumId w:val="3"/>
  </w:num>
  <w:num w:numId="7" w16cid:durableId="1342779553">
    <w:abstractNumId w:val="2"/>
  </w:num>
  <w:num w:numId="8" w16cid:durableId="1534272688">
    <w:abstractNumId w:val="1"/>
  </w:num>
  <w:num w:numId="9" w16cid:durableId="676929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A4213"/>
    <w:rsid w:val="0029639D"/>
    <w:rsid w:val="00326F90"/>
    <w:rsid w:val="007A21BA"/>
    <w:rsid w:val="0089099D"/>
    <w:rsid w:val="009D401B"/>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FFE217"/>
  <w14:defaultImageDpi w14:val="300"/>
  <w15:docId w15:val="{75129E3C-55F4-4B73-9E9C-A6AE3691D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2" w:lineRule="auto"/>
    </w:pPr>
    <w:rPr>
      <w:rFonts w:ascii="Aptos" w:hAnsi="Aptos"/>
      <w:sz w:val="20"/>
    </w:rPr>
  </w:style>
  <w:style w:type="paragraph" w:styleId="Heading1">
    <w:name w:val="heading 1"/>
    <w:basedOn w:val="Normal"/>
    <w:next w:val="Normal"/>
    <w:link w:val="Heading1Char"/>
    <w:uiPriority w:val="9"/>
    <w:qFormat/>
    <w:rsid w:val="00FC693F"/>
    <w:pPr>
      <w:keepNext/>
      <w:keepLines/>
      <w:spacing w:before="280"/>
      <w:outlineLvl w:val="0"/>
    </w:pPr>
    <w:rPr>
      <w:rFonts w:asciiTheme="majorHAnsi" w:eastAsiaTheme="majorEastAsia" w:hAnsiTheme="majorHAnsi" w:cstheme="majorBidi"/>
      <w:b/>
      <w:bCs/>
      <w:color w:val="123D52"/>
      <w:sz w:val="34"/>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b/>
      <w:bCs/>
      <w:color w:val="1F2F2A"/>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E05C2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23D52"/>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2409</Words>
  <Characters>13733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16110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Todd  Topliff</cp:lastModifiedBy>
  <cp:revision>2</cp:revision>
  <dcterms:created xsi:type="dcterms:W3CDTF">2026-08-13T12:37:00Z</dcterms:created>
  <dcterms:modified xsi:type="dcterms:W3CDTF">2026-08-13T12:37:00Z</dcterms:modified>
  <cp:category/>
</cp:coreProperties>
</file>